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2999">
      <w:pPr>
        <w:pStyle w:val="276"/>
        <w:ind w:firstLine="0"/>
        <w:rPr>
          <w:rFonts w:ascii="Times New Roman" w:hAnsi="Times New Roman" w:eastAsia="方正黑体_GBK"/>
          <w:b/>
          <w:bCs/>
          <w:color w:val="000000" w:themeColor="text1"/>
          <w:sz w:val="84"/>
          <w14:textFill>
            <w14:solidFill>
              <w14:schemeClr w14:val="tx1"/>
            </w14:solidFill>
          </w14:textFill>
        </w:rPr>
      </w:pPr>
    </w:p>
    <w:p w14:paraId="0E9F0E17">
      <w:pPr>
        <w:pStyle w:val="276"/>
        <w:spacing w:before="0" w:after="0" w:line="600" w:lineRule="exact"/>
        <w:ind w:firstLine="0"/>
        <w:rPr>
          <w:rFonts w:ascii="Times New Roman" w:hAnsi="Times New Roman" w:eastAsia="方正黑体_GBK"/>
          <w:b/>
          <w:bCs/>
          <w:color w:val="000000" w:themeColor="text1"/>
          <w:sz w:val="84"/>
          <w14:textFill>
            <w14:solidFill>
              <w14:schemeClr w14:val="tx1"/>
            </w14:solidFill>
          </w14:textFill>
        </w:rPr>
      </w:pPr>
    </w:p>
    <w:p w14:paraId="6E33062B">
      <w:pPr>
        <w:pStyle w:val="276"/>
        <w:ind w:firstLine="0"/>
        <w:jc w:val="center"/>
        <w:rPr>
          <w:rFonts w:hint="eastAsia" w:ascii="Times New Roman" w:hAnsi="Times New Roman" w:eastAsia="方正黑体_GBK"/>
          <w:b/>
          <w:bCs/>
          <w:color w:val="FF0000"/>
          <w:sz w:val="32"/>
          <w:szCs w:val="32"/>
          <w:lang w:eastAsia="zh-CN"/>
        </w:rPr>
      </w:pPr>
      <w:r>
        <w:rPr>
          <w:rFonts w:ascii="Times New Roman" w:hAnsi="Times New Roman" w:eastAsia="方正黑体_GBK"/>
          <w:b/>
          <w:bCs/>
          <w:color w:val="000000" w:themeColor="text1"/>
          <w:sz w:val="84"/>
          <w14:textFill>
            <w14:solidFill>
              <w14:schemeClr w14:val="tx1"/>
            </w14:solidFill>
          </w14:textFill>
        </w:rPr>
        <w:t>招　标　文　</w:t>
      </w:r>
      <w:r>
        <w:rPr>
          <w:rFonts w:hint="eastAsia" w:ascii="Times New Roman" w:hAnsi="Times New Roman" w:eastAsia="方正黑体_GBK"/>
          <w:b/>
          <w:bCs/>
          <w:color w:val="000000" w:themeColor="text1"/>
          <w:sz w:val="84"/>
          <w:lang w:eastAsia="zh-CN"/>
          <w14:textFill>
            <w14:solidFill>
              <w14:schemeClr w14:val="tx1"/>
            </w14:solidFill>
          </w14:textFill>
        </w:rPr>
        <w:t>件</w:t>
      </w:r>
    </w:p>
    <w:p w14:paraId="057C1087">
      <w:pPr>
        <w:ind w:firstLine="1606"/>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项目名称：宿迁市城市生命线二期2024年项目</w:t>
      </w:r>
    </w:p>
    <w:p w14:paraId="04E06999">
      <w:pPr>
        <w:ind w:firstLine="3200" w:firstLineChars="10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（市级管养三座桥梁硬件设施采购及</w:t>
      </w:r>
    </w:p>
    <w:p w14:paraId="66597975">
      <w:pPr>
        <w:ind w:firstLine="3200" w:firstLineChars="1000"/>
        <w:rPr>
          <w:rFonts w:hint="eastAsia" w:eastAsia="方正仿宋_GBK"/>
          <w:color w:val="000000" w:themeColor="text1"/>
          <w:sz w:val="32"/>
          <w:lang w:eastAsia="zh-CN"/>
          <w14:textFill>
            <w14:solidFill>
              <w14:schemeClr w14:val="tx1"/>
            </w14:solidFill>
          </w14:textFill>
        </w:rPr>
      </w:pPr>
      <w:r>
        <w:rPr>
          <w:rFonts w:eastAsia="方正仿宋_GBK"/>
          <w:color w:val="000000" w:themeColor="text1"/>
          <w:sz w:val="32"/>
          <w14:textFill>
            <w14:solidFill>
              <w14:schemeClr w14:val="tx1"/>
            </w14:solidFill>
          </w14:textFill>
        </w:rPr>
        <w:t>安装项目）</w:t>
      </w:r>
      <w:r>
        <w:rPr>
          <w:rFonts w:hint="eastAsia" w:eastAsia="方正仿宋_GBK"/>
          <w:color w:val="000000" w:themeColor="text1"/>
          <w:sz w:val="32"/>
          <w:lang w:eastAsia="zh-CN"/>
          <w14:textFill>
            <w14:solidFill>
              <w14:schemeClr w14:val="tx1"/>
            </w14:solidFill>
          </w14:textFill>
        </w:rPr>
        <w:t>（重新招标）</w:t>
      </w:r>
    </w:p>
    <w:p w14:paraId="00D81D27">
      <w:pPr>
        <w:ind w:firstLine="1506"/>
        <w:rPr>
          <w:rFonts w:hint="eastAsia" w:eastAsia="方正仿宋_GBK"/>
          <w:color w:val="000000" w:themeColor="text1"/>
          <w:sz w:val="30"/>
          <w:szCs w:val="30"/>
          <w:lang w:eastAsia="zh-CN"/>
          <w14:textFill>
            <w14:solidFill>
              <w14:schemeClr w14:val="tx1"/>
            </w14:solidFill>
          </w14:textFill>
        </w:rPr>
      </w:pPr>
      <w:r>
        <w:rPr>
          <w:rFonts w:eastAsia="方正仿宋_GBK"/>
          <w:color w:val="000000" w:themeColor="text1"/>
          <w:sz w:val="32"/>
          <w14:textFill>
            <w14:solidFill>
              <w14:schemeClr w14:val="tx1"/>
            </w14:solidFill>
          </w14:textFill>
        </w:rPr>
        <w:t>项目编</w:t>
      </w:r>
      <w:r>
        <w:rPr>
          <w:rFonts w:eastAsia="方正仿宋_GBK"/>
          <w:color w:val="000000" w:themeColor="text1"/>
          <w:sz w:val="30"/>
          <w:szCs w:val="30"/>
          <w14:textFill>
            <w14:solidFill>
              <w14:schemeClr w14:val="tx1"/>
            </w14:solidFill>
          </w14:textFill>
        </w:rPr>
        <w:t>号： JSZC-321300-SWZX-G2025-0001</w:t>
      </w:r>
      <w:r>
        <w:rPr>
          <w:rFonts w:hint="eastAsia" w:eastAsia="方正仿宋_GBK"/>
          <w:color w:val="000000" w:themeColor="text1"/>
          <w:sz w:val="30"/>
          <w:szCs w:val="30"/>
          <w:lang w:val="en-US" w:eastAsia="zh-CN"/>
          <w14:textFill>
            <w14:solidFill>
              <w14:schemeClr w14:val="tx1"/>
            </w14:solidFill>
          </w14:textFill>
        </w:rPr>
        <w:t xml:space="preserve"> </w:t>
      </w:r>
    </w:p>
    <w:p w14:paraId="27D6CCFF">
      <w:pPr>
        <w:ind w:firstLine="3051" w:firstLineChars="1017"/>
        <w:rPr>
          <w:rFonts w:eastAsia="方正仿宋_GBK"/>
          <w:color w:val="000000" w:themeColor="text1"/>
          <w:sz w:val="30"/>
          <w:szCs w:val="30"/>
          <w14:textFill>
            <w14:solidFill>
              <w14:schemeClr w14:val="tx1"/>
            </w14:solidFill>
          </w14:textFill>
        </w:rPr>
      </w:pPr>
      <w:r>
        <w:rPr>
          <w:rFonts w:eastAsia="方正仿宋_GBK"/>
          <w:color w:val="000000" w:themeColor="text1"/>
          <w:sz w:val="30"/>
          <w:szCs w:val="30"/>
          <w14:textFill>
            <w14:solidFill>
              <w14:schemeClr w14:val="tx1"/>
            </w14:solidFill>
          </w14:textFill>
        </w:rPr>
        <w:t>（货物类项目，</w:t>
      </w:r>
      <w:r>
        <w:rPr>
          <w:rFonts w:hint="eastAsia" w:eastAsia="方正仿宋_GBK"/>
          <w:color w:val="000000" w:themeColor="text1"/>
          <w:sz w:val="30"/>
          <w:szCs w:val="30"/>
          <w:lang w:val="en-US" w:eastAsia="zh-CN"/>
          <w14:textFill>
            <w14:solidFill>
              <w14:schemeClr w14:val="tx1"/>
            </w14:solidFill>
          </w14:textFill>
        </w:rPr>
        <w:t xml:space="preserve"> 非</w:t>
      </w:r>
      <w:r>
        <w:rPr>
          <w:rFonts w:eastAsia="方正仿宋_GBK"/>
          <w:color w:val="000000" w:themeColor="text1"/>
          <w:sz w:val="30"/>
          <w:szCs w:val="30"/>
          <w14:textFill>
            <w14:solidFill>
              <w14:schemeClr w14:val="tx1"/>
            </w14:solidFill>
          </w14:textFill>
        </w:rPr>
        <w:t>专门面向中小企业）</w:t>
      </w:r>
    </w:p>
    <w:p w14:paraId="5DA679C3">
      <w:pPr>
        <w:pStyle w:val="276"/>
        <w:spacing w:before="0" w:after="0"/>
        <w:ind w:firstLine="0"/>
        <w:jc w:val="both"/>
        <w:rPr>
          <w:rFonts w:hint="eastAsia" w:ascii="宋体" w:hAnsi="宋体" w:eastAsia="宋体" w:cs="宋体"/>
          <w:color w:val="FF0000"/>
          <w:sz w:val="36"/>
          <w:szCs w:val="36"/>
        </w:rPr>
      </w:pPr>
    </w:p>
    <w:p w14:paraId="2367377A">
      <w:pPr>
        <w:pStyle w:val="276"/>
        <w:spacing w:before="0" w:after="0"/>
        <w:ind w:firstLine="0"/>
        <w:jc w:val="center"/>
        <w:rPr>
          <w:rFonts w:hint="eastAsia" w:ascii="宋体" w:hAnsi="宋体" w:eastAsia="宋体" w:cs="宋体"/>
          <w:color w:val="FF0000"/>
          <w:sz w:val="36"/>
          <w:szCs w:val="36"/>
          <w:lang w:eastAsia="zh-CN"/>
        </w:rPr>
      </w:pPr>
      <w:r>
        <w:rPr>
          <w:rFonts w:hint="eastAsia" w:ascii="宋体" w:hAnsi="宋体" w:eastAsia="宋体" w:cs="宋体"/>
          <w:color w:val="FF0000"/>
          <w:sz w:val="36"/>
          <w:szCs w:val="36"/>
          <w:lang w:eastAsia="zh-CN"/>
        </w:rPr>
        <w:t>征求意见稿</w:t>
      </w:r>
    </w:p>
    <w:p w14:paraId="766A3BBB">
      <w:pPr>
        <w:pStyle w:val="276"/>
        <w:spacing w:before="0" w:after="0"/>
        <w:ind w:firstLine="0"/>
        <w:rPr>
          <w:rFonts w:ascii="Times New Roman" w:hAnsi="Times New Roman" w:eastAsia="方正仿宋_GBK"/>
          <w:color w:val="000000" w:themeColor="text1"/>
          <w14:textFill>
            <w14:solidFill>
              <w14:schemeClr w14:val="tx1"/>
            </w14:solidFill>
          </w14:textFill>
        </w:rPr>
      </w:pPr>
    </w:p>
    <w:p w14:paraId="6ABD91CD">
      <w:pPr>
        <w:pStyle w:val="276"/>
        <w:spacing w:before="0" w:after="0"/>
        <w:ind w:firstLine="0"/>
        <w:rPr>
          <w:rFonts w:ascii="Times New Roman" w:hAnsi="Times New Roman" w:eastAsia="方正仿宋_GBK"/>
          <w:color w:val="000000" w:themeColor="text1"/>
          <w14:textFill>
            <w14:solidFill>
              <w14:schemeClr w14:val="tx1"/>
            </w14:solidFill>
          </w14:textFill>
        </w:rPr>
      </w:pPr>
    </w:p>
    <w:p w14:paraId="7EA5C60E">
      <w:pPr>
        <w:pStyle w:val="276"/>
        <w:ind w:firstLine="964"/>
        <w:jc w:val="both"/>
        <w:rPr>
          <w:rFonts w:ascii="Times New Roman" w:hAnsi="Times New Roman" w:eastAsia="方正仿宋_GBK"/>
          <w:color w:val="000000" w:themeColor="text1"/>
          <w:sz w:val="32"/>
          <w:u w:val="single"/>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采   购   人：</w:t>
      </w:r>
      <w:bookmarkStart w:id="0" w:name="EBa701789ceba847eb807c0d41082ffd84"/>
      <w:r>
        <w:rPr>
          <w:rFonts w:ascii="Times New Roman" w:hAnsi="Times New Roman" w:eastAsia="方正仿宋_GBK"/>
          <w:color w:val="000000" w:themeColor="text1"/>
          <w:sz w:val="32"/>
          <w:u w:val="single"/>
          <w14:textFill>
            <w14:solidFill>
              <w14:schemeClr w14:val="tx1"/>
            </w14:solidFill>
          </w14:textFill>
        </w:rPr>
        <w:t>宿迁市住房和城乡建设局</w:t>
      </w:r>
      <w:bookmarkEnd w:id="0"/>
      <w:bookmarkStart w:id="239" w:name="_GoBack"/>
      <w:bookmarkEnd w:id="239"/>
    </w:p>
    <w:p w14:paraId="3C771464">
      <w:pPr>
        <w:pStyle w:val="276"/>
        <w:ind w:firstLine="964"/>
        <w:jc w:val="both"/>
        <w:rPr>
          <w:rFonts w:ascii="Times New Roman" w:hAnsi="Times New Roman" w:eastAsia="方正仿宋_GBK"/>
          <w:color w:val="000000" w:themeColor="text1"/>
          <w:sz w:val="32"/>
          <w:u w:val="single"/>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采购代理机构：</w:t>
      </w:r>
      <w:r>
        <w:rPr>
          <w:rFonts w:ascii="Times New Roman" w:hAnsi="Times New Roman" w:eastAsia="方正仿宋_GBK"/>
          <w:color w:val="000000" w:themeColor="text1"/>
          <w:sz w:val="32"/>
          <w:u w:val="single"/>
          <w14:textFill>
            <w14:solidFill>
              <w14:schemeClr w14:val="tx1"/>
            </w14:solidFill>
          </w14:textFill>
        </w:rPr>
        <w:t>江苏四维工程咨询管理有限公司</w:t>
      </w:r>
    </w:p>
    <w:p w14:paraId="65ECB3D1">
      <w:pPr>
        <w:pStyle w:val="276"/>
        <w:ind w:firstLine="2570"/>
        <w:jc w:val="both"/>
        <w:rPr>
          <w:rFonts w:ascii="Times New Roman" w:hAnsi="Times New Roman" w:eastAsia="方正仿宋_GBK"/>
          <w:b/>
          <w:bCs/>
          <w:color w:val="000000" w:themeColor="text1"/>
          <w:sz w:val="32"/>
          <w:u w:val="single"/>
          <w14:textFill>
            <w14:solidFill>
              <w14:schemeClr w14:val="tx1"/>
            </w14:solidFill>
          </w14:textFill>
        </w:rPr>
      </w:pPr>
    </w:p>
    <w:p w14:paraId="7A31C40D">
      <w:pPr>
        <w:pStyle w:val="276"/>
        <w:jc w:val="center"/>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u w:val="single"/>
          <w14:textFill>
            <w14:solidFill>
              <w14:schemeClr w14:val="tx1"/>
            </w14:solidFill>
          </w14:textFill>
        </w:rPr>
        <w:t>202</w:t>
      </w:r>
      <w:r>
        <w:rPr>
          <w:rFonts w:hint="eastAsia" w:ascii="Times New Roman" w:hAnsi="Times New Roman" w:eastAsia="方正仿宋_GBK"/>
          <w:color w:val="000000" w:themeColor="text1"/>
          <w:sz w:val="32"/>
          <w:u w:val="single"/>
          <w:lang w:val="en-US" w:eastAsia="zh-CN"/>
          <w14:textFill>
            <w14:solidFill>
              <w14:schemeClr w14:val="tx1"/>
            </w14:solidFill>
          </w14:textFill>
        </w:rPr>
        <w:t>5</w:t>
      </w:r>
      <w:r>
        <w:rPr>
          <w:rFonts w:ascii="Times New Roman" w:hAnsi="Times New Roman" w:eastAsia="方正仿宋_GBK"/>
          <w:color w:val="000000" w:themeColor="text1"/>
          <w:sz w:val="32"/>
          <w14:textFill>
            <w14:solidFill>
              <w14:schemeClr w14:val="tx1"/>
            </w14:solidFill>
          </w14:textFill>
        </w:rPr>
        <w:t>年</w:t>
      </w:r>
      <w:r>
        <w:rPr>
          <w:rFonts w:hint="eastAsia" w:ascii="Times New Roman" w:hAnsi="Times New Roman" w:eastAsia="方正仿宋_GBK"/>
          <w:color w:val="000000" w:themeColor="text1"/>
          <w:sz w:val="32"/>
          <w:u w:val="single"/>
          <w:lang w:val="en-US" w:eastAsia="zh-CN"/>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月</w:t>
      </w:r>
      <w:r>
        <w:rPr>
          <w:rFonts w:hint="eastAsia" w:ascii="Times New Roman" w:hAnsi="Times New Roman" w:eastAsia="方正仿宋_GBK"/>
          <w:color w:val="000000" w:themeColor="text1"/>
          <w:sz w:val="32"/>
          <w:u w:val="single"/>
          <w:lang w:val="en-US" w:eastAsia="zh-CN"/>
          <w14:textFill>
            <w14:solidFill>
              <w14:schemeClr w14:val="tx1"/>
            </w14:solidFill>
          </w14:textFill>
        </w:rPr>
        <w:t xml:space="preserve">20 </w:t>
      </w:r>
      <w:r>
        <w:rPr>
          <w:rFonts w:ascii="Times New Roman" w:hAnsi="Times New Roman" w:eastAsia="方正仿宋_GBK"/>
          <w:color w:val="000000" w:themeColor="text1"/>
          <w:sz w:val="32"/>
          <w14:textFill>
            <w14:solidFill>
              <w14:schemeClr w14:val="tx1"/>
            </w14:solidFill>
          </w14:textFill>
        </w:rPr>
        <w:t>日</w:t>
      </w:r>
    </w:p>
    <w:p w14:paraId="118B5036">
      <w:pPr>
        <w:spacing w:line="480" w:lineRule="auto"/>
        <w:jc w:val="center"/>
        <w:outlineLvl w:val="0"/>
        <w:rPr>
          <w:rFonts w:eastAsia="方正仿宋_GBK"/>
          <w:color w:val="000000" w:themeColor="text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907" w:gutter="0"/>
          <w:cols w:space="0" w:num="1"/>
          <w:docGrid w:linePitch="360" w:charSpace="0"/>
        </w:sectPr>
      </w:pPr>
      <w:bookmarkStart w:id="1" w:name="_Toc120614210"/>
      <w:bookmarkStart w:id="2" w:name="_Toc523127445"/>
      <w:bookmarkStart w:id="3" w:name="_Toc20823272"/>
      <w:bookmarkStart w:id="4" w:name="_Toc513029200"/>
      <w:bookmarkStart w:id="5" w:name="_Toc479757206"/>
      <w:bookmarkStart w:id="6" w:name="_Toc16938516"/>
    </w:p>
    <w:p w14:paraId="1E4843FC">
      <w:pPr>
        <w:spacing w:line="480" w:lineRule="auto"/>
        <w:jc w:val="center"/>
        <w:outlineLvl w:val="0"/>
        <w:rPr>
          <w:rFonts w:eastAsia="方正黑体_GBK"/>
          <w:b/>
          <w:color w:val="000000" w:themeColor="text1"/>
          <w:sz w:val="44"/>
          <w14:textFill>
            <w14:solidFill>
              <w14:schemeClr w14:val="tx1"/>
            </w14:solidFill>
          </w14:textFill>
        </w:rPr>
      </w:pPr>
      <w:r>
        <w:rPr>
          <w:rFonts w:eastAsia="方正黑体_GBK"/>
          <w:b/>
          <w:color w:val="000000" w:themeColor="text1"/>
          <w:sz w:val="44"/>
          <w14:textFill>
            <w14:solidFill>
              <w14:schemeClr w14:val="tx1"/>
            </w14:solidFill>
          </w14:textFill>
        </w:rPr>
        <w:t>总  目  录</w:t>
      </w:r>
    </w:p>
    <w:p w14:paraId="1FC4CDFB">
      <w:pPr>
        <w:spacing w:line="480" w:lineRule="auto"/>
        <w:rPr>
          <w:rFonts w:eastAsia="方正仿宋_GBK"/>
          <w:b/>
          <w:color w:val="000000" w:themeColor="text1"/>
          <w:sz w:val="28"/>
          <w14:textFill>
            <w14:solidFill>
              <w14:schemeClr w14:val="tx1"/>
            </w14:solidFill>
          </w14:textFill>
        </w:rPr>
      </w:pPr>
    </w:p>
    <w:p w14:paraId="76888A71">
      <w:pPr>
        <w:numPr>
          <w:ilvl w:val="0"/>
          <w:numId w:val="4"/>
        </w:numPr>
        <w:spacing w:line="480" w:lineRule="auto"/>
        <w:outlineLvl w:val="0"/>
        <w:rPr>
          <w:rFonts w:eastAsia="方正黑体_GBK"/>
          <w:color w:val="000000" w:themeColor="text1"/>
          <w:sz w:val="32"/>
          <w14:textFill>
            <w14:solidFill>
              <w14:schemeClr w14:val="tx1"/>
            </w14:solidFill>
          </w14:textFill>
        </w:rPr>
      </w:pPr>
      <w:r>
        <w:rPr>
          <w:rFonts w:eastAsia="方正黑体_GBK"/>
          <w:color w:val="000000" w:themeColor="text1"/>
          <w:sz w:val="36"/>
          <w14:textFill>
            <w14:solidFill>
              <w14:schemeClr w14:val="tx1"/>
            </w14:solidFill>
          </w14:textFill>
        </w:rPr>
        <w:t>投标邀请……………………………………</w:t>
      </w:r>
      <w:r>
        <w:rPr>
          <w:rFonts w:hint="eastAsia" w:eastAsia="方正黑体_GBK"/>
          <w:color w:val="000000" w:themeColor="text1"/>
          <w:sz w:val="36"/>
          <w14:textFill>
            <w14:solidFill>
              <w14:schemeClr w14:val="tx1"/>
            </w14:solidFill>
          </w14:textFill>
        </w:rPr>
        <w:t>1</w:t>
      </w:r>
    </w:p>
    <w:p w14:paraId="6C142C03">
      <w:pPr>
        <w:numPr>
          <w:ilvl w:val="0"/>
          <w:numId w:val="4"/>
        </w:numPr>
        <w:spacing w:line="480" w:lineRule="auto"/>
        <w:outlineLvl w:val="0"/>
        <w:rPr>
          <w:rFonts w:eastAsia="方正黑体_GBK"/>
          <w:color w:val="000000" w:themeColor="text1"/>
          <w:sz w:val="36"/>
          <w14:textFill>
            <w14:solidFill>
              <w14:schemeClr w14:val="tx1"/>
            </w14:solidFill>
          </w14:textFill>
        </w:rPr>
      </w:pPr>
      <w:r>
        <w:rPr>
          <w:rFonts w:eastAsia="方正黑体_GBK"/>
          <w:bCs/>
          <w:color w:val="000000" w:themeColor="text1"/>
          <w:sz w:val="36"/>
          <w:szCs w:val="36"/>
          <w14:textFill>
            <w14:solidFill>
              <w14:schemeClr w14:val="tx1"/>
            </w14:solidFill>
          </w14:textFill>
        </w:rPr>
        <w:t>投标人须知</w:t>
      </w:r>
      <w:r>
        <w:rPr>
          <w:rFonts w:eastAsia="方正黑体_GBK"/>
          <w:color w:val="000000" w:themeColor="text1"/>
          <w:sz w:val="36"/>
          <w:szCs w:val="36"/>
          <w14:textFill>
            <w14:solidFill>
              <w14:schemeClr w14:val="tx1"/>
            </w14:solidFill>
          </w14:textFill>
        </w:rPr>
        <w:t>…</w:t>
      </w:r>
      <w:r>
        <w:rPr>
          <w:rFonts w:eastAsia="方正黑体_GBK"/>
          <w:color w:val="000000" w:themeColor="text1"/>
          <w:sz w:val="36"/>
          <w14:textFill>
            <w14:solidFill>
              <w14:schemeClr w14:val="tx1"/>
            </w14:solidFill>
          </w14:textFill>
        </w:rPr>
        <w:t>………………………………</w:t>
      </w:r>
      <w:r>
        <w:rPr>
          <w:rFonts w:hint="eastAsia" w:eastAsia="方正黑体_GBK"/>
          <w:color w:val="000000" w:themeColor="text1"/>
          <w:sz w:val="36"/>
          <w:lang w:val="en-US" w:eastAsia="zh-CN"/>
          <w14:textFill>
            <w14:solidFill>
              <w14:schemeClr w14:val="tx1"/>
            </w14:solidFill>
          </w14:textFill>
        </w:rPr>
        <w:t>5</w:t>
      </w:r>
    </w:p>
    <w:p w14:paraId="1FB25EA2">
      <w:pPr>
        <w:numPr>
          <w:ilvl w:val="0"/>
          <w:numId w:val="4"/>
        </w:numPr>
        <w:spacing w:line="480" w:lineRule="auto"/>
        <w:outlineLvl w:val="0"/>
        <w:rPr>
          <w:rFonts w:eastAsia="方正黑体_GBK"/>
          <w:color w:val="000000" w:themeColor="text1"/>
          <w:sz w:val="36"/>
          <w14:textFill>
            <w14:solidFill>
              <w14:schemeClr w14:val="tx1"/>
            </w14:solidFill>
          </w14:textFill>
        </w:rPr>
      </w:pPr>
      <w:r>
        <w:rPr>
          <w:rFonts w:eastAsia="方正黑体_GBK"/>
          <w:color w:val="000000" w:themeColor="text1"/>
          <w:sz w:val="36"/>
          <w14:textFill>
            <w14:solidFill>
              <w14:schemeClr w14:val="tx1"/>
            </w14:solidFill>
          </w14:textFill>
        </w:rPr>
        <w:t>合同文本……………………………………</w:t>
      </w:r>
      <w:r>
        <w:rPr>
          <w:rFonts w:hint="eastAsia" w:eastAsia="方正黑体_GBK"/>
          <w:color w:val="000000" w:themeColor="text1"/>
          <w:sz w:val="36"/>
          <w14:textFill>
            <w14:solidFill>
              <w14:schemeClr w14:val="tx1"/>
            </w14:solidFill>
          </w14:textFill>
        </w:rPr>
        <w:t>2</w:t>
      </w:r>
      <w:r>
        <w:rPr>
          <w:rFonts w:hint="eastAsia" w:eastAsia="方正黑体_GBK"/>
          <w:color w:val="000000" w:themeColor="text1"/>
          <w:sz w:val="36"/>
          <w:lang w:val="en-US" w:eastAsia="zh-CN"/>
          <w14:textFill>
            <w14:solidFill>
              <w14:schemeClr w14:val="tx1"/>
            </w14:solidFill>
          </w14:textFill>
        </w:rPr>
        <w:t>1</w:t>
      </w:r>
    </w:p>
    <w:p w14:paraId="520236C3">
      <w:pPr>
        <w:numPr>
          <w:ilvl w:val="0"/>
          <w:numId w:val="4"/>
        </w:numPr>
        <w:spacing w:line="480" w:lineRule="auto"/>
        <w:outlineLvl w:val="0"/>
        <w:rPr>
          <w:rFonts w:eastAsia="方正黑体_GBK"/>
          <w:color w:val="000000" w:themeColor="text1"/>
          <w:sz w:val="36"/>
          <w14:textFill>
            <w14:solidFill>
              <w14:schemeClr w14:val="tx1"/>
            </w14:solidFill>
          </w14:textFill>
        </w:rPr>
      </w:pPr>
      <w:r>
        <w:rPr>
          <w:rFonts w:eastAsia="方正黑体_GBK"/>
          <w:color w:val="000000" w:themeColor="text1"/>
          <w:sz w:val="36"/>
          <w14:textFill>
            <w14:solidFill>
              <w14:schemeClr w14:val="tx1"/>
            </w14:solidFill>
          </w14:textFill>
        </w:rPr>
        <w:t>采购需求……………………………………</w:t>
      </w:r>
      <w:r>
        <w:rPr>
          <w:rFonts w:hint="eastAsia" w:eastAsia="方正黑体_GBK"/>
          <w:color w:val="000000" w:themeColor="text1"/>
          <w:sz w:val="36"/>
          <w:lang w:val="en-US" w:eastAsia="zh-CN"/>
          <w14:textFill>
            <w14:solidFill>
              <w14:schemeClr w14:val="tx1"/>
            </w14:solidFill>
          </w14:textFill>
        </w:rPr>
        <w:t>29</w:t>
      </w:r>
    </w:p>
    <w:p w14:paraId="44CE4132">
      <w:pPr>
        <w:numPr>
          <w:ilvl w:val="0"/>
          <w:numId w:val="4"/>
        </w:numPr>
        <w:spacing w:line="480" w:lineRule="auto"/>
        <w:outlineLvl w:val="0"/>
        <w:rPr>
          <w:rFonts w:eastAsia="方正黑体_GBK"/>
          <w:color w:val="000000" w:themeColor="text1"/>
          <w:sz w:val="36"/>
          <w14:textFill>
            <w14:solidFill>
              <w14:schemeClr w14:val="tx1"/>
            </w14:solidFill>
          </w14:textFill>
        </w:rPr>
      </w:pPr>
      <w:r>
        <w:rPr>
          <w:rFonts w:eastAsia="方正黑体_GBK"/>
          <w:bCs/>
          <w:color w:val="000000" w:themeColor="text1"/>
          <w:sz w:val="36"/>
          <w:szCs w:val="36"/>
          <w14:textFill>
            <w14:solidFill>
              <w14:schemeClr w14:val="tx1"/>
            </w14:solidFill>
          </w14:textFill>
        </w:rPr>
        <w:t>评标方法与评标标准</w:t>
      </w:r>
      <w:r>
        <w:rPr>
          <w:rFonts w:eastAsia="方正黑体_GBK"/>
          <w:color w:val="000000" w:themeColor="text1"/>
          <w:sz w:val="36"/>
          <w14:textFill>
            <w14:solidFill>
              <w14:schemeClr w14:val="tx1"/>
            </w14:solidFill>
          </w14:textFill>
        </w:rPr>
        <w:t>………………………</w:t>
      </w:r>
      <w:r>
        <w:rPr>
          <w:rFonts w:hint="eastAsia" w:eastAsia="方正黑体_GBK"/>
          <w:color w:val="000000" w:themeColor="text1"/>
          <w:sz w:val="36"/>
          <w14:textFill>
            <w14:solidFill>
              <w14:schemeClr w14:val="tx1"/>
            </w14:solidFill>
          </w14:textFill>
        </w:rPr>
        <w:t>3</w:t>
      </w:r>
      <w:r>
        <w:rPr>
          <w:rFonts w:hint="eastAsia" w:eastAsia="方正黑体_GBK"/>
          <w:color w:val="000000" w:themeColor="text1"/>
          <w:sz w:val="36"/>
          <w:lang w:val="en-US" w:eastAsia="zh-CN"/>
          <w14:textFill>
            <w14:solidFill>
              <w14:schemeClr w14:val="tx1"/>
            </w14:solidFill>
          </w14:textFill>
        </w:rPr>
        <w:t>8</w:t>
      </w:r>
    </w:p>
    <w:p w14:paraId="2C39815C">
      <w:pPr>
        <w:numPr>
          <w:ilvl w:val="0"/>
          <w:numId w:val="4"/>
        </w:numPr>
        <w:spacing w:line="480" w:lineRule="auto"/>
        <w:outlineLvl w:val="0"/>
        <w:rPr>
          <w:rFonts w:eastAsia="方正黑体_GBK"/>
          <w:color w:val="000000" w:themeColor="text1"/>
          <w:sz w:val="36"/>
          <w14:textFill>
            <w14:solidFill>
              <w14:schemeClr w14:val="tx1"/>
            </w14:solidFill>
          </w14:textFill>
        </w:rPr>
      </w:pPr>
      <w:r>
        <w:rPr>
          <w:rFonts w:eastAsia="方正黑体_GBK"/>
          <w:color w:val="000000" w:themeColor="text1"/>
          <w:sz w:val="36"/>
          <w14:textFill>
            <w14:solidFill>
              <w14:schemeClr w14:val="tx1"/>
            </w14:solidFill>
          </w14:textFill>
        </w:rPr>
        <w:t>投标文件格式………………………………4</w:t>
      </w:r>
      <w:r>
        <w:rPr>
          <w:rFonts w:hint="eastAsia" w:eastAsia="方正黑体_GBK"/>
          <w:color w:val="000000" w:themeColor="text1"/>
          <w:sz w:val="36"/>
          <w:lang w:val="en-US" w:eastAsia="zh-CN"/>
          <w14:textFill>
            <w14:solidFill>
              <w14:schemeClr w14:val="tx1"/>
            </w14:solidFill>
          </w14:textFill>
        </w:rPr>
        <w:t>3</w:t>
      </w:r>
    </w:p>
    <w:p w14:paraId="4BCD1876">
      <w:pPr>
        <w:rPr>
          <w:rFonts w:eastAsia="方正仿宋_GBK"/>
          <w:color w:val="000000" w:themeColor="text1"/>
          <w14:textFill>
            <w14:solidFill>
              <w14:schemeClr w14:val="tx1"/>
            </w14:solidFill>
          </w14:textFill>
        </w:rPr>
      </w:pPr>
    </w:p>
    <w:p w14:paraId="7578376A">
      <w:pPr>
        <w:rPr>
          <w:rFonts w:eastAsia="方正仿宋_GBK"/>
          <w:color w:val="000000" w:themeColor="text1"/>
          <w14:textFill>
            <w14:solidFill>
              <w14:schemeClr w14:val="tx1"/>
            </w14:solidFill>
          </w14:textFill>
        </w:rPr>
      </w:pPr>
    </w:p>
    <w:p w14:paraId="0388782A">
      <w:pPr>
        <w:rPr>
          <w:rFonts w:eastAsia="方正仿宋_GBK"/>
          <w:color w:val="000000" w:themeColor="text1"/>
          <w14:textFill>
            <w14:solidFill>
              <w14:schemeClr w14:val="tx1"/>
            </w14:solidFill>
          </w14:textFill>
        </w:rPr>
      </w:pPr>
    </w:p>
    <w:p w14:paraId="31EE1467">
      <w:pPr>
        <w:rPr>
          <w:rFonts w:eastAsia="方正仿宋_GBK"/>
          <w:color w:val="000000" w:themeColor="text1"/>
          <w14:textFill>
            <w14:solidFill>
              <w14:schemeClr w14:val="tx1"/>
            </w14:solidFill>
          </w14:textFill>
        </w:rPr>
      </w:pPr>
    </w:p>
    <w:p w14:paraId="525C799E">
      <w:pPr>
        <w:rPr>
          <w:rFonts w:eastAsia="方正仿宋_GBK"/>
          <w:color w:val="000000" w:themeColor="text1"/>
          <w14:textFill>
            <w14:solidFill>
              <w14:schemeClr w14:val="tx1"/>
            </w14:solidFill>
          </w14:textFill>
        </w:rPr>
      </w:pPr>
    </w:p>
    <w:p w14:paraId="09EF9C07">
      <w:pPr>
        <w:rPr>
          <w:rFonts w:eastAsia="方正仿宋_GBK"/>
          <w:color w:val="000000" w:themeColor="text1"/>
          <w14:textFill>
            <w14:solidFill>
              <w14:schemeClr w14:val="tx1"/>
            </w14:solidFill>
          </w14:textFill>
        </w:rPr>
      </w:pPr>
    </w:p>
    <w:p w14:paraId="6B6A039C">
      <w:pPr>
        <w:rPr>
          <w:rFonts w:eastAsia="方正仿宋_GBK"/>
          <w:color w:val="000000" w:themeColor="text1"/>
          <w14:textFill>
            <w14:solidFill>
              <w14:schemeClr w14:val="tx1"/>
            </w14:solidFill>
          </w14:textFill>
        </w:rPr>
      </w:pPr>
    </w:p>
    <w:p w14:paraId="776F096C">
      <w:pPr>
        <w:rPr>
          <w:rFonts w:eastAsia="方正仿宋_GBK"/>
          <w:color w:val="000000" w:themeColor="text1"/>
          <w14:textFill>
            <w14:solidFill>
              <w14:schemeClr w14:val="tx1"/>
            </w14:solidFill>
          </w14:textFill>
        </w:rPr>
      </w:pPr>
    </w:p>
    <w:p w14:paraId="37FF57AF">
      <w:pPr>
        <w:rPr>
          <w:rFonts w:eastAsia="方正仿宋_GBK"/>
          <w:color w:val="000000" w:themeColor="text1"/>
          <w14:textFill>
            <w14:solidFill>
              <w14:schemeClr w14:val="tx1"/>
            </w14:solidFill>
          </w14:textFill>
        </w:rPr>
      </w:pPr>
    </w:p>
    <w:p w14:paraId="48293BE3">
      <w:pPr>
        <w:rPr>
          <w:rFonts w:eastAsia="方正仿宋_GBK"/>
          <w:color w:val="000000" w:themeColor="text1"/>
          <w14:textFill>
            <w14:solidFill>
              <w14:schemeClr w14:val="tx1"/>
            </w14:solidFill>
          </w14:textFill>
        </w:rPr>
      </w:pPr>
    </w:p>
    <w:p w14:paraId="6D560E2E">
      <w:pPr>
        <w:rPr>
          <w:rFonts w:eastAsia="方正仿宋_GBK"/>
          <w:color w:val="000000" w:themeColor="text1"/>
          <w14:textFill>
            <w14:solidFill>
              <w14:schemeClr w14:val="tx1"/>
            </w14:solidFill>
          </w14:textFill>
        </w:rPr>
      </w:pPr>
    </w:p>
    <w:p w14:paraId="44E2161F">
      <w:pPr>
        <w:rPr>
          <w:rFonts w:eastAsia="方正仿宋_GBK"/>
          <w:color w:val="000000" w:themeColor="text1"/>
          <w14:textFill>
            <w14:solidFill>
              <w14:schemeClr w14:val="tx1"/>
            </w14:solidFill>
          </w14:textFill>
        </w:rPr>
      </w:pPr>
    </w:p>
    <w:p w14:paraId="678A8F25">
      <w:pPr>
        <w:rPr>
          <w:rFonts w:eastAsia="方正仿宋_GBK"/>
          <w:color w:val="000000" w:themeColor="text1"/>
          <w14:textFill>
            <w14:solidFill>
              <w14:schemeClr w14:val="tx1"/>
            </w14:solidFill>
          </w14:textFill>
        </w:rPr>
      </w:pPr>
    </w:p>
    <w:p w14:paraId="70F050E8">
      <w:pPr>
        <w:rPr>
          <w:rFonts w:eastAsia="方正仿宋_GBK"/>
          <w:color w:val="000000" w:themeColor="text1"/>
          <w14:textFill>
            <w14:solidFill>
              <w14:schemeClr w14:val="tx1"/>
            </w14:solidFill>
          </w14:textFill>
        </w:rPr>
      </w:pPr>
    </w:p>
    <w:p w14:paraId="5775F890">
      <w:pPr>
        <w:rPr>
          <w:rFonts w:eastAsia="方正仿宋_GBK"/>
          <w:color w:val="000000" w:themeColor="text1"/>
          <w14:textFill>
            <w14:solidFill>
              <w14:schemeClr w14:val="tx1"/>
            </w14:solidFill>
          </w14:textFill>
        </w:rPr>
        <w:sectPr>
          <w:footerReference r:id="rId8" w:type="default"/>
          <w:pgSz w:w="11906" w:h="16838"/>
          <w:pgMar w:top="2098" w:right="1531" w:bottom="1701" w:left="1531" w:header="851" w:footer="907" w:gutter="0"/>
          <w:pgNumType w:start="1"/>
          <w:cols w:space="0" w:num="1"/>
          <w:docGrid w:linePitch="360" w:charSpace="0"/>
        </w:sectPr>
      </w:pPr>
    </w:p>
    <w:p w14:paraId="579BB6C9">
      <w:pPr>
        <w:pStyle w:val="187"/>
        <w:keepNext w:val="0"/>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 xml:space="preserve">第一章  </w:t>
      </w:r>
      <w:bookmarkEnd w:id="1"/>
      <w:r>
        <w:rPr>
          <w:rFonts w:hint="eastAsia" w:ascii="方正小标宋_GBK" w:hAnsi="方正小标宋_GBK" w:eastAsia="方正小标宋_GBK" w:cs="方正小标宋_GBK"/>
          <w:color w:val="000000" w:themeColor="text1"/>
          <w:sz w:val="44"/>
          <w:szCs w:val="44"/>
          <w14:textFill>
            <w14:solidFill>
              <w14:schemeClr w14:val="tx1"/>
            </w14:solidFill>
          </w14:textFill>
        </w:rPr>
        <w:t>投标邀请</w:t>
      </w:r>
    </w:p>
    <w:p w14:paraId="420A8322">
      <w:pPr>
        <w:spacing w:line="400" w:lineRule="exact"/>
        <w:rPr>
          <w:color w:val="000000" w:themeColor="text1"/>
          <w14:textFill>
            <w14:solidFill>
              <w14:schemeClr w14:val="tx1"/>
            </w14:solidFill>
          </w14:textFill>
        </w:rPr>
      </w:pPr>
    </w:p>
    <w:p w14:paraId="649235E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受</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u w:val="single"/>
          <w14:textFill>
            <w14:solidFill>
              <w14:schemeClr w14:val="tx1"/>
            </w14:solidFill>
          </w14:textFill>
        </w:rPr>
        <w:t>宿迁市住房和城乡建设局</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14:textFill>
            <w14:solidFill>
              <w14:schemeClr w14:val="tx1"/>
            </w14:solidFill>
          </w14:textFill>
        </w:rPr>
        <w:t>的委托，</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u w:val="single"/>
          <w14:textFill>
            <w14:solidFill>
              <w14:schemeClr w14:val="tx1"/>
            </w14:solidFill>
          </w14:textFill>
        </w:rPr>
        <w:t>江苏四维工程咨询管理有限公司</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14:textFill>
            <w14:solidFill>
              <w14:schemeClr w14:val="tx1"/>
            </w14:solidFill>
          </w14:textFill>
        </w:rPr>
        <w:t>就</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u w:val="single"/>
          <w14:textFill>
            <w14:solidFill>
              <w14:schemeClr w14:val="tx1"/>
            </w14:solidFill>
          </w14:textFill>
        </w:rPr>
        <w:t>宿迁市城市生命线二期2024年项目（市级管养三座桥梁硬件设施采购及安装项目）</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u w:val="single"/>
          <w14:textFill>
            <w14:solidFill>
              <w14:schemeClr w14:val="tx1"/>
            </w14:solidFill>
          </w14:textFill>
        </w:rPr>
        <w:t>JSZC-321300-SWZX-G2025-0001</w:t>
      </w:r>
      <w:r>
        <w:rPr>
          <w:rFonts w:hint="eastAsia"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14:textFill>
            <w14:solidFill>
              <w14:schemeClr w14:val="tx1"/>
            </w14:solidFill>
          </w14:textFill>
        </w:rPr>
        <w:t>进行公开招标采购，欢迎符合条件的投标人投标。</w:t>
      </w:r>
    </w:p>
    <w:p w14:paraId="257CC265">
      <w:pPr>
        <w:pBdr>
          <w:top w:val="single" w:color="000000" w:sz="4" w:space="1"/>
          <w:left w:val="single" w:color="000000" w:sz="4" w:space="4"/>
          <w:bottom w:val="single" w:color="000000" w:sz="4" w:space="1"/>
          <w:right w:val="single" w:color="000000" w:sz="4" w:space="4"/>
        </w:pBdr>
        <w:spacing w:line="560" w:lineRule="exact"/>
        <w:ind w:firstLine="48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项目概况</w:t>
      </w:r>
    </w:p>
    <w:p w14:paraId="2F797481">
      <w:pPr>
        <w:pBdr>
          <w:top w:val="single" w:color="000000" w:sz="4" w:space="1"/>
          <w:left w:val="single" w:color="000000" w:sz="4" w:space="4"/>
          <w:bottom w:val="single" w:color="000000" w:sz="4" w:space="1"/>
          <w:right w:val="single" w:color="000000" w:sz="4" w:space="4"/>
        </w:pBdr>
        <w:spacing w:line="560" w:lineRule="exact"/>
        <w:ind w:firstLine="48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u w:val="single"/>
          <w14:textFill>
            <w14:solidFill>
              <w14:schemeClr w14:val="tx1"/>
            </w14:solidFill>
          </w14:textFill>
        </w:rPr>
        <w:t>宿迁市城市生命线二期2024年项目（市级管养三座桥梁硬件设施采购及安装项目）</w:t>
      </w:r>
      <w:r>
        <w:rPr>
          <w:rFonts w:eastAsia="方正仿宋_GBK"/>
          <w:color w:val="000000" w:themeColor="text1"/>
          <w:sz w:val="24"/>
          <w:szCs w:val="24"/>
          <w14:textFill>
            <w14:solidFill>
              <w14:schemeClr w14:val="tx1"/>
            </w14:solidFill>
          </w14:textFill>
        </w:rPr>
        <w:t>招标项目的潜在投标人可在</w:t>
      </w:r>
      <w:r>
        <w:rPr>
          <w:rFonts w:eastAsia="方正仿宋_GBK"/>
          <w:color w:val="000000" w:themeColor="text1"/>
          <w:sz w:val="24"/>
          <w:szCs w:val="24"/>
          <w:u w:val="single"/>
          <w14:textFill>
            <w14:solidFill>
              <w14:schemeClr w14:val="tx1"/>
            </w14:solidFill>
          </w14:textFill>
        </w:rPr>
        <w:t>“宿迁市政府采购网”</w:t>
      </w:r>
      <w:r>
        <w:rPr>
          <w:rFonts w:eastAsia="方正仿宋_GBK"/>
          <w:color w:val="000000" w:themeColor="text1"/>
          <w:sz w:val="24"/>
          <w:szCs w:val="24"/>
          <w:u w:val="none"/>
          <w14:textFill>
            <w14:solidFill>
              <w14:schemeClr w14:val="tx1"/>
            </w14:solidFill>
          </w14:textFill>
        </w:rPr>
        <w:t>自行免费下载</w:t>
      </w:r>
      <w:r>
        <w:rPr>
          <w:rFonts w:eastAsia="方正仿宋_GBK"/>
          <w:color w:val="000000" w:themeColor="text1"/>
          <w:sz w:val="24"/>
          <w:szCs w:val="24"/>
          <w14:textFill>
            <w14:solidFill>
              <w14:schemeClr w14:val="tx1"/>
            </w14:solidFill>
          </w14:textFill>
        </w:rPr>
        <w:t>招标文件，并于</w:t>
      </w:r>
      <w:r>
        <w:rPr>
          <w:rFonts w:eastAsia="方正仿宋_GBK"/>
          <w:color w:val="000000" w:themeColor="text1"/>
          <w:sz w:val="24"/>
          <w:szCs w:val="24"/>
          <w:u w:val="single"/>
          <w14:textFill>
            <w14:solidFill>
              <w14:schemeClr w14:val="tx1"/>
            </w14:solidFill>
          </w14:textFill>
        </w:rPr>
        <w:t>202</w:t>
      </w:r>
      <w:r>
        <w:rPr>
          <w:rFonts w:hint="eastAsia" w:eastAsia="方正仿宋_GBK"/>
          <w:color w:val="000000" w:themeColor="text1"/>
          <w:sz w:val="24"/>
          <w:szCs w:val="24"/>
          <w:u w:val="single"/>
          <w:lang w:val="en-US" w:eastAsia="zh-CN"/>
          <w14:textFill>
            <w14:solidFill>
              <w14:schemeClr w14:val="tx1"/>
            </w14:solidFill>
          </w14:textFill>
        </w:rPr>
        <w:t>5</w:t>
      </w:r>
      <w:r>
        <w:rPr>
          <w:rFonts w:eastAsia="方正仿宋_GBK"/>
          <w:bCs/>
          <w:color w:val="000000" w:themeColor="text1"/>
          <w:sz w:val="24"/>
          <w:szCs w:val="24"/>
          <w:u w:val="single"/>
          <w14:textFill>
            <w14:solidFill>
              <w14:schemeClr w14:val="tx1"/>
            </w14:solidFill>
          </w14:textFill>
        </w:rPr>
        <w:t>年</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月</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日</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点</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分（</w:t>
      </w:r>
      <w:r>
        <w:rPr>
          <w:rFonts w:eastAsia="方正仿宋_GBK"/>
          <w:bCs/>
          <w:color w:val="000000" w:themeColor="text1"/>
          <w:sz w:val="24"/>
          <w:szCs w:val="24"/>
          <w14:textFill>
            <w14:solidFill>
              <w14:schemeClr w14:val="tx1"/>
            </w14:solidFill>
          </w14:textFill>
        </w:rPr>
        <w:t>北京时间）前递交投标文件</w:t>
      </w:r>
      <w:r>
        <w:rPr>
          <w:rFonts w:eastAsia="方正仿宋_GBK"/>
          <w:color w:val="000000" w:themeColor="text1"/>
          <w:sz w:val="24"/>
          <w:szCs w:val="24"/>
          <w14:textFill>
            <w14:solidFill>
              <w14:schemeClr w14:val="tx1"/>
            </w14:solidFill>
          </w14:textFill>
        </w:rPr>
        <w:t>。</w:t>
      </w:r>
    </w:p>
    <w:p w14:paraId="5B70531F">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bookmarkStart w:id="7" w:name="_Toc28359002"/>
      <w:bookmarkStart w:id="8" w:name="_Toc35393790"/>
      <w:bookmarkStart w:id="9" w:name="_Toc35393621"/>
      <w:bookmarkStart w:id="10" w:name="_Toc38985263"/>
      <w:bookmarkStart w:id="11" w:name="_Toc28359079"/>
      <w:bookmarkStart w:id="12" w:name="_Hlk24379207"/>
      <w:r>
        <w:rPr>
          <w:rFonts w:ascii="方正黑体_GBK" w:hAnsi="方正黑体_GBK" w:eastAsia="方正黑体_GBK" w:cs="方正黑体_GBK"/>
          <w:b/>
          <w:bCs/>
          <w:color w:val="000000" w:themeColor="text1"/>
          <w:sz w:val="24"/>
          <w:szCs w:val="24"/>
          <w14:textFill>
            <w14:solidFill>
              <w14:schemeClr w14:val="tx1"/>
            </w14:solidFill>
          </w14:textFill>
        </w:rPr>
        <w:t>一、项目基本情况</w:t>
      </w:r>
      <w:bookmarkEnd w:id="7"/>
      <w:bookmarkEnd w:id="8"/>
      <w:bookmarkEnd w:id="9"/>
      <w:bookmarkEnd w:id="10"/>
      <w:bookmarkEnd w:id="11"/>
    </w:p>
    <w:p w14:paraId="39B67738">
      <w:pPr>
        <w:spacing w:line="440" w:lineRule="exact"/>
        <w:ind w:firstLine="480" w:firstLineChars="200"/>
        <w:rPr>
          <w:rFonts w:hint="default" w:eastAsia="方正仿宋_GBK"/>
          <w:color w:val="000000" w:themeColor="text1"/>
          <w:sz w:val="24"/>
          <w:szCs w:val="24"/>
          <w:lang w:val="en-US" w:eastAsia="zh-CN"/>
          <w14:textFill>
            <w14:solidFill>
              <w14:schemeClr w14:val="tx1"/>
            </w14:solidFill>
          </w14:textFill>
        </w:rPr>
      </w:pPr>
      <w:r>
        <w:rPr>
          <w:rFonts w:eastAsia="方正仿宋_GBK"/>
          <w:color w:val="000000" w:themeColor="text1"/>
          <w:sz w:val="24"/>
          <w:szCs w:val="24"/>
          <w14:textFill>
            <w14:solidFill>
              <w14:schemeClr w14:val="tx1"/>
            </w14:solidFill>
          </w14:textFill>
        </w:rPr>
        <w:t>1.项目编号：</w:t>
      </w:r>
      <w:r>
        <w:rPr>
          <w:rFonts w:hint="eastAsia" w:eastAsia="方正仿宋_GBK"/>
          <w:color w:val="000000" w:themeColor="text1"/>
          <w:sz w:val="24"/>
          <w:szCs w:val="24"/>
          <w:lang w:val="en-US" w:eastAsia="zh-CN"/>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JSZC-321300-SWZX-G2025-0001</w:t>
      </w:r>
      <w:r>
        <w:rPr>
          <w:rFonts w:hint="eastAsia" w:eastAsia="方正仿宋_GBK"/>
          <w:color w:val="000000" w:themeColor="text1"/>
          <w:sz w:val="24"/>
          <w:szCs w:val="24"/>
          <w:lang w:val="en-US" w:eastAsia="zh-CN"/>
          <w14:textFill>
            <w14:solidFill>
              <w14:schemeClr w14:val="tx1"/>
            </w14:solidFill>
          </w14:textFill>
        </w:rPr>
        <w:t xml:space="preserve"> </w:t>
      </w:r>
    </w:p>
    <w:p w14:paraId="6FF25E9B">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2.项目名称：宿迁市城市生命线二期2024年项目（市级管养三座桥梁硬件设施采购及安装项目）</w:t>
      </w:r>
    </w:p>
    <w:bookmarkEnd w:id="12"/>
    <w:p w14:paraId="158B1CB7">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3.预算金额：150万元</w:t>
      </w:r>
    </w:p>
    <w:p w14:paraId="7D54B2A7">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4.本项目设定最高限价，最高限价为150万元</w:t>
      </w:r>
    </w:p>
    <w:p w14:paraId="55A892C1">
      <w:pPr>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 xml:space="preserve">5.采购需求（简介）：宿迁市城市生命线二期2024年项目（市级管养三座桥梁硬件设施采购及安装项目）（详细内容见本招标文件第四章） </w:t>
      </w:r>
    </w:p>
    <w:p w14:paraId="0B32F41F">
      <w:pPr>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6.合同履行期限：</w:t>
      </w:r>
      <w:r>
        <w:rPr>
          <w:rFonts w:ascii="Times New Roman" w:hAnsi="Times New Roman" w:eastAsia="方正仿宋_GBK" w:cs="Times New Roman"/>
          <w:color w:val="000000" w:themeColor="text1"/>
          <w:sz w:val="24"/>
          <w:szCs w:val="24"/>
          <w14:textFill>
            <w14:solidFill>
              <w14:schemeClr w14:val="tx1"/>
            </w14:solidFill>
          </w14:textFill>
        </w:rPr>
        <w:t>合同签订后30天内完成监测设备采购、安装和调试，将监测数据实时接入采购人指定的桥梁监测平台并上线试运行。</w:t>
      </w:r>
      <w:r>
        <w:rPr>
          <w:rFonts w:ascii="Times New Roman" w:hAnsi="Times New Roman" w:eastAsia="方正仿宋_GBK" w:cs="Times New Roman"/>
          <w:color w:val="000000" w:themeColor="text1"/>
          <w:sz w:val="24"/>
          <w:szCs w:val="24"/>
          <w14:textFill>
            <w14:solidFill>
              <w14:schemeClr w14:val="tx1"/>
            </w14:solidFill>
          </w14:textFill>
        </w:rPr>
        <w:br w:type="textWrapping"/>
      </w:r>
      <w:r>
        <w:rPr>
          <w:rFonts w:hint="eastAsia" w:ascii="Times New Roman" w:hAnsi="Times New Roman" w:eastAsia="方正仿宋_GBK" w:cs="Times New Roman"/>
          <w:color w:val="000000" w:themeColor="text1"/>
          <w:sz w:val="24"/>
          <w:szCs w:val="24"/>
          <w14:textFill>
            <w14:solidFill>
              <w14:schemeClr w14:val="tx1"/>
            </w14:solidFill>
          </w14:textFill>
        </w:rPr>
        <w:t xml:space="preserve">    </w:t>
      </w:r>
      <w:r>
        <w:rPr>
          <w:rFonts w:ascii="Times New Roman" w:hAnsi="Times New Roman" w:eastAsia="方正仿宋_GBK" w:cs="Times New Roman"/>
          <w:color w:val="000000" w:themeColor="text1"/>
          <w:sz w:val="24"/>
          <w:szCs w:val="24"/>
          <w14:textFill>
            <w14:solidFill>
              <w14:schemeClr w14:val="tx1"/>
            </w14:solidFill>
          </w14:textFill>
        </w:rPr>
        <w:t>7.本项目</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不</w:t>
      </w:r>
      <w:r>
        <w:rPr>
          <w:rFonts w:ascii="Times New Roman" w:hAnsi="Times New Roman" w:eastAsia="方正仿宋_GBK" w:cs="Times New Roman"/>
          <w:color w:val="000000" w:themeColor="text1"/>
          <w:sz w:val="24"/>
          <w:szCs w:val="24"/>
          <w14:textFill>
            <w14:solidFill>
              <w14:schemeClr w14:val="tx1"/>
            </w14:solidFill>
          </w14:textFill>
        </w:rPr>
        <w:t>接受联合体投标。</w:t>
      </w:r>
    </w:p>
    <w:p w14:paraId="3B21F5C4">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bookmarkStart w:id="13" w:name="_Toc35393791"/>
      <w:bookmarkStart w:id="14" w:name="_Toc28359080"/>
      <w:bookmarkStart w:id="15" w:name="_Toc35393622"/>
      <w:bookmarkStart w:id="16" w:name="_Toc28359003"/>
      <w:bookmarkStart w:id="17" w:name="_Toc38985264"/>
      <w:r>
        <w:rPr>
          <w:rFonts w:ascii="方正黑体_GBK" w:hAnsi="方正黑体_GBK" w:eastAsia="方正黑体_GBK" w:cs="方正黑体_GBK"/>
          <w:b/>
          <w:bCs/>
          <w:color w:val="000000" w:themeColor="text1"/>
          <w:sz w:val="24"/>
          <w:szCs w:val="24"/>
          <w14:textFill>
            <w14:solidFill>
              <w14:schemeClr w14:val="tx1"/>
            </w14:solidFill>
          </w14:textFill>
        </w:rPr>
        <w:t>二、申请人的资格要求：</w:t>
      </w:r>
      <w:bookmarkEnd w:id="13"/>
      <w:bookmarkEnd w:id="14"/>
      <w:bookmarkEnd w:id="15"/>
      <w:bookmarkEnd w:id="16"/>
      <w:bookmarkEnd w:id="17"/>
    </w:p>
    <w:p w14:paraId="1F106E55">
      <w:pPr>
        <w:spacing w:line="440" w:lineRule="exact"/>
        <w:ind w:firstLine="480" w:firstLineChars="200"/>
        <w:rPr>
          <w:rFonts w:eastAsia="方正仿宋_GBK"/>
          <w:color w:val="000000" w:themeColor="text1"/>
          <w:sz w:val="24"/>
          <w:szCs w:val="24"/>
          <w14:textFill>
            <w14:solidFill>
              <w14:schemeClr w14:val="tx1"/>
            </w14:solidFill>
          </w14:textFill>
        </w:rPr>
      </w:pPr>
      <w:bookmarkStart w:id="18" w:name="_Toc35393792"/>
      <w:bookmarkStart w:id="19" w:name="_Toc38985265"/>
      <w:bookmarkStart w:id="20" w:name="_Toc28359004"/>
      <w:bookmarkStart w:id="21" w:name="_Toc35393623"/>
      <w:bookmarkStart w:id="22" w:name="_Toc28359081"/>
      <w:r>
        <w:rPr>
          <w:rFonts w:eastAsia="方正仿宋_GBK"/>
          <w:color w:val="000000" w:themeColor="text1"/>
          <w:sz w:val="24"/>
          <w:szCs w:val="24"/>
          <w14:textFill>
            <w14:solidFill>
              <w14:schemeClr w14:val="tx1"/>
            </w14:solidFill>
          </w14:textFill>
        </w:rPr>
        <w:t>（一）通用资格要求</w:t>
      </w:r>
    </w:p>
    <w:p w14:paraId="41233FDD">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1.具备《中华人民共和国政府采购法》第二十二条第一款规定的6项条件（按要求提供投标声明及承诺函）。</w:t>
      </w:r>
    </w:p>
    <w:p w14:paraId="0CF228C0">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2.信用信息。信用信息查询渠道：“信用中国”网（www.creditchina.gov.cn）、“中国政府采购”网（www.ccgp.gov.cn）、江苏政府采购网（www.ccgp-jiangsu.gov.cn）。    </w:t>
      </w:r>
    </w:p>
    <w:p w14:paraId="14AD96D4">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信用信息的使用规则：</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被列入失信被执行人、重大税收违法失信主体、政府采购严重违法失信行为记录名单及其他不符合《中华人民共和国政府采购法》第二十二条规定条件的</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，将拒绝其参与政府采购活动。（投标文件中无需提供证明材料）。</w:t>
      </w:r>
    </w:p>
    <w:p w14:paraId="6AC0A742">
      <w:pPr>
        <w:spacing w:line="440" w:lineRule="exact"/>
        <w:ind w:firstLine="480" w:firstLineChars="200"/>
        <w:rPr>
          <w:rFonts w:hint="eastAsia"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3.</w:t>
      </w:r>
      <w:r>
        <w:rPr>
          <w:rFonts w:eastAsia="方正仿宋_GBK"/>
          <w:color w:val="000000" w:themeColor="text1"/>
          <w:sz w:val="24"/>
          <w:szCs w:val="24"/>
          <w14:textFill>
            <w14:solidFill>
              <w14:schemeClr w14:val="tx1"/>
            </w14:solidFill>
          </w14:textFill>
        </w:rPr>
        <w:t>落实政府采购政策需满足的资格要求：</w:t>
      </w:r>
      <w:r>
        <w:rPr>
          <w:rFonts w:hint="eastAsia" w:eastAsia="方正仿宋_GBK"/>
          <w:color w:val="000000" w:themeColor="text1"/>
          <w:sz w:val="24"/>
          <w:szCs w:val="24"/>
          <w:lang w:eastAsia="zh-CN"/>
          <w14:textFill>
            <w14:solidFill>
              <w14:schemeClr w14:val="tx1"/>
            </w14:solidFill>
          </w14:textFill>
        </w:rPr>
        <w:t>无。</w:t>
      </w:r>
    </w:p>
    <w:p w14:paraId="0137CDDD">
      <w:pPr>
        <w:spacing w:line="440" w:lineRule="exact"/>
        <w:ind w:firstLine="480" w:firstLineChars="200"/>
        <w:rPr>
          <w:rFonts w:hint="eastAsia" w:eastAsia="方正仿宋_GBK"/>
          <w:color w:val="000000" w:themeColor="text1"/>
          <w:sz w:val="24"/>
          <w:szCs w:val="24"/>
          <w:lang w:eastAsia="zh-CN"/>
          <w14:textFill>
            <w14:solidFill>
              <w14:schemeClr w14:val="tx1"/>
            </w14:solidFill>
          </w14:textFill>
        </w:rPr>
      </w:pPr>
      <w:r>
        <w:rPr>
          <w:rFonts w:eastAsia="方正仿宋_GBK"/>
          <w:color w:val="000000" w:themeColor="text1"/>
          <w:sz w:val="24"/>
          <w:szCs w:val="24"/>
          <w14:textFill>
            <w14:solidFill>
              <w14:schemeClr w14:val="tx1"/>
            </w14:solidFill>
          </w14:textFill>
        </w:rPr>
        <w:t>（二）本项目的特定资格要求：</w:t>
      </w:r>
      <w:r>
        <w:rPr>
          <w:rFonts w:hint="eastAsia" w:eastAsia="方正仿宋_GBK"/>
          <w:color w:val="000000" w:themeColor="text1"/>
          <w:sz w:val="24"/>
          <w:szCs w:val="24"/>
          <w:lang w:eastAsia="zh-CN"/>
          <w14:textFill>
            <w14:solidFill>
              <w14:schemeClr w14:val="tx1"/>
            </w14:solidFill>
          </w14:textFill>
        </w:rPr>
        <w:t>无。</w:t>
      </w:r>
    </w:p>
    <w:p w14:paraId="6FAE06C1">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三、获取招标文件</w:t>
      </w:r>
      <w:bookmarkEnd w:id="18"/>
      <w:bookmarkEnd w:id="19"/>
      <w:bookmarkEnd w:id="20"/>
      <w:bookmarkEnd w:id="21"/>
      <w:bookmarkEnd w:id="22"/>
    </w:p>
    <w:p w14:paraId="278E7293">
      <w:pPr>
        <w:spacing w:line="440" w:lineRule="exact"/>
        <w:ind w:firstLine="480" w:firstLineChars="200"/>
        <w:rPr>
          <w:rFonts w:eastAsia="方正仿宋_GBK"/>
          <w:color w:val="000000" w:themeColor="text1"/>
          <w:sz w:val="24"/>
          <w:szCs w:val="24"/>
          <w14:textFill>
            <w14:solidFill>
              <w14:schemeClr w14:val="tx1"/>
            </w14:solidFill>
          </w14:textFill>
        </w:rPr>
      </w:pPr>
      <w:bookmarkStart w:id="23" w:name="_Toc28359082"/>
      <w:bookmarkStart w:id="24" w:name="_Toc28359005"/>
      <w:bookmarkStart w:id="25" w:name="_Toc35393624"/>
      <w:bookmarkStart w:id="26" w:name="_Toc38985266"/>
      <w:bookmarkStart w:id="27" w:name="_Toc35393793"/>
      <w:r>
        <w:rPr>
          <w:rFonts w:eastAsia="方正仿宋_GBK"/>
          <w:color w:val="000000" w:themeColor="text1"/>
          <w:sz w:val="24"/>
          <w:szCs w:val="24"/>
          <w14:textFill>
            <w14:solidFill>
              <w14:schemeClr w14:val="tx1"/>
            </w14:solidFill>
          </w14:textFill>
        </w:rPr>
        <w:t>1.时间：202</w:t>
      </w:r>
      <w:r>
        <w:rPr>
          <w:rFonts w:hint="eastAsia" w:eastAsia="方正仿宋_GBK"/>
          <w:color w:val="000000" w:themeColor="text1"/>
          <w:sz w:val="24"/>
          <w:szCs w:val="24"/>
          <w:lang w:val="en-US" w:eastAsia="zh-CN"/>
          <w14:textFill>
            <w14:solidFill>
              <w14:schemeClr w14:val="tx1"/>
            </w14:solidFill>
          </w14:textFill>
        </w:rPr>
        <w:t>5</w:t>
      </w:r>
      <w:r>
        <w:rPr>
          <w:rFonts w:eastAsia="方正仿宋_GBK"/>
          <w:color w:val="000000" w:themeColor="text1"/>
          <w:sz w:val="24"/>
          <w:szCs w:val="24"/>
          <w14:textFill>
            <w14:solidFill>
              <w14:schemeClr w14:val="tx1"/>
            </w14:solidFill>
          </w14:textFill>
        </w:rPr>
        <w:t>年</w:t>
      </w:r>
      <w:r>
        <w:rPr>
          <w:rFonts w:hint="eastAsia" w:eastAsia="方正仿宋_GBK"/>
          <w:color w:val="000000" w:themeColor="text1"/>
          <w:sz w:val="24"/>
          <w:szCs w:val="24"/>
          <w:lang w:val="en-US" w:eastAsia="zh-CN"/>
          <w14:textFill>
            <w14:solidFill>
              <w14:schemeClr w14:val="tx1"/>
            </w14:solidFill>
          </w14:textFill>
        </w:rPr>
        <w:t>1</w:t>
      </w:r>
      <w:r>
        <w:rPr>
          <w:rFonts w:eastAsia="方正仿宋_GBK"/>
          <w:color w:val="000000" w:themeColor="text1"/>
          <w:sz w:val="24"/>
          <w:szCs w:val="24"/>
          <w14:textFill>
            <w14:solidFill>
              <w14:schemeClr w14:val="tx1"/>
            </w14:solidFill>
          </w14:textFill>
        </w:rPr>
        <w:t>月</w:t>
      </w:r>
      <w:r>
        <w:rPr>
          <w:rFonts w:hint="eastAsia" w:eastAsia="方正仿宋_GBK"/>
          <w:color w:val="000000" w:themeColor="text1"/>
          <w:sz w:val="24"/>
          <w:szCs w:val="24"/>
          <w:lang w:val="en-US" w:eastAsia="zh-CN"/>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日00:00至202</w:t>
      </w:r>
      <w:r>
        <w:rPr>
          <w:rFonts w:hint="eastAsia" w:eastAsia="方正仿宋_GBK"/>
          <w:color w:val="000000" w:themeColor="text1"/>
          <w:sz w:val="24"/>
          <w:szCs w:val="24"/>
          <w:lang w:val="en-US" w:eastAsia="zh-CN"/>
          <w14:textFill>
            <w14:solidFill>
              <w14:schemeClr w14:val="tx1"/>
            </w14:solidFill>
          </w14:textFill>
        </w:rPr>
        <w:t>5</w:t>
      </w:r>
      <w:r>
        <w:rPr>
          <w:rFonts w:eastAsia="方正仿宋_GBK"/>
          <w:color w:val="000000" w:themeColor="text1"/>
          <w:sz w:val="24"/>
          <w:szCs w:val="24"/>
          <w14:textFill>
            <w14:solidFill>
              <w14:schemeClr w14:val="tx1"/>
            </w14:solidFill>
          </w14:textFill>
        </w:rPr>
        <w:t>年</w:t>
      </w:r>
      <w:r>
        <w:rPr>
          <w:rFonts w:hint="eastAsia" w:eastAsia="方正仿宋_GBK"/>
          <w:color w:val="000000" w:themeColor="text1"/>
          <w:sz w:val="24"/>
          <w:szCs w:val="24"/>
          <w:lang w:val="en-US" w:eastAsia="zh-CN"/>
          <w14:textFill>
            <w14:solidFill>
              <w14:schemeClr w14:val="tx1"/>
            </w14:solidFill>
          </w14:textFill>
        </w:rPr>
        <w:t>1</w:t>
      </w:r>
      <w:r>
        <w:rPr>
          <w:rFonts w:eastAsia="方正仿宋_GBK"/>
          <w:color w:val="000000" w:themeColor="text1"/>
          <w:sz w:val="24"/>
          <w:szCs w:val="24"/>
          <w14:textFill>
            <w14:solidFill>
              <w14:schemeClr w14:val="tx1"/>
            </w14:solidFill>
          </w14:textFill>
        </w:rPr>
        <w:t>月</w:t>
      </w:r>
      <w:r>
        <w:rPr>
          <w:rFonts w:hint="eastAsia" w:eastAsia="方正仿宋_GBK"/>
          <w:color w:val="000000" w:themeColor="text1"/>
          <w:sz w:val="24"/>
          <w:szCs w:val="24"/>
          <w:lang w:val="en-US" w:eastAsia="zh-CN"/>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日23:59（北京时间）</w:t>
      </w:r>
    </w:p>
    <w:p w14:paraId="40E13844">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2.方式：投标人应在招标文件提供的时间内，通过“苏采云”系统（网址： http://jszfcg.jsczt.cn/）或宿迁市政府采购网点击“政府采购管理交易系统（苏采云）”，使用CA锁进入系统从“项目参与”--“采购项目”菜单中，找到本项目获取采购文件（后缀名为“.kedt”）。</w:t>
      </w:r>
    </w:p>
    <w:p w14:paraId="5CC03119">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3.地点：“苏采云“系统 </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网址: http://jszfcg.jsczt.cn/</w:t>
      </w:r>
      <w:r>
        <w:rPr>
          <w:rFonts w:hint="eastAsia" w:eastAsia="方正仿宋_GBK"/>
          <w:color w:val="000000" w:themeColor="text1"/>
          <w:sz w:val="24"/>
          <w:szCs w:val="24"/>
          <w14:textFill>
            <w14:solidFill>
              <w14:schemeClr w14:val="tx1"/>
            </w14:solidFill>
          </w14:textFill>
        </w:rPr>
        <w:t>）</w:t>
      </w:r>
    </w:p>
    <w:p w14:paraId="0524050B">
      <w:pPr>
        <w:spacing w:line="440" w:lineRule="exact"/>
        <w:ind w:firstLine="480" w:firstLineChars="200"/>
        <w:rPr>
          <w:rFonts w:eastAsia="方正仿宋_GBK"/>
          <w:color w:val="000000" w:themeColor="text1"/>
          <w:sz w:val="24"/>
          <w:szCs w:val="24"/>
          <w14:textFill>
            <w14:solidFill>
              <w14:schemeClr w14:val="tx1"/>
            </w14:solidFill>
          </w14:textFill>
        </w:rPr>
      </w:pPr>
      <w:bookmarkStart w:id="28" w:name="EB0c44ff4da61f4af989d119fe214be450"/>
      <w:r>
        <w:rPr>
          <w:rFonts w:eastAsia="方正仿宋_GBK"/>
          <w:color w:val="000000" w:themeColor="text1"/>
          <w:sz w:val="24"/>
          <w:szCs w:val="24"/>
          <w14:textFill>
            <w14:solidFill>
              <w14:schemeClr w14:val="tx1"/>
            </w14:solidFill>
          </w14:textFill>
        </w:rPr>
        <w:t>4.本项目共分一个包。投标人未按要求获取招标文件导致无法投标的，后果自负（其投标文件不予接受）。</w:t>
      </w:r>
      <w:bookmarkEnd w:id="28"/>
    </w:p>
    <w:p w14:paraId="35343852">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四、提交投标文件</w:t>
      </w:r>
      <w:bookmarkEnd w:id="23"/>
      <w:bookmarkEnd w:id="24"/>
      <w:r>
        <w:rPr>
          <w:rFonts w:ascii="方正黑体_GBK" w:hAnsi="方正黑体_GBK" w:eastAsia="方正黑体_GBK" w:cs="方正黑体_GBK"/>
          <w:b/>
          <w:bCs/>
          <w:color w:val="000000" w:themeColor="text1"/>
          <w:sz w:val="24"/>
          <w:szCs w:val="24"/>
          <w14:textFill>
            <w14:solidFill>
              <w14:schemeClr w14:val="tx1"/>
            </w14:solidFill>
          </w14:textFill>
        </w:rPr>
        <w:t>截止时间、开标时间和地点</w:t>
      </w:r>
      <w:bookmarkEnd w:id="25"/>
      <w:bookmarkEnd w:id="26"/>
      <w:bookmarkEnd w:id="27"/>
    </w:p>
    <w:p w14:paraId="306347CA">
      <w:pPr>
        <w:spacing w:line="440" w:lineRule="exact"/>
        <w:ind w:firstLine="480" w:firstLineChars="200"/>
        <w:rPr>
          <w:rFonts w:eastAsia="方正仿宋_GBK"/>
          <w:bCs/>
          <w:color w:val="000000" w:themeColor="text1"/>
          <w:sz w:val="24"/>
          <w:szCs w:val="24"/>
          <w:u w:val="single"/>
          <w14:textFill>
            <w14:solidFill>
              <w14:schemeClr w14:val="tx1"/>
            </w14:solidFill>
          </w14:textFill>
        </w:rPr>
      </w:pPr>
      <w:r>
        <w:rPr>
          <w:rFonts w:eastAsia="方正仿宋_GBK"/>
          <w:bCs/>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提交投标文件截止时间、开标时间：</w:t>
      </w:r>
      <w:r>
        <w:rPr>
          <w:rFonts w:eastAsia="方正仿宋_GBK"/>
          <w:bCs/>
          <w:color w:val="000000" w:themeColor="text1"/>
          <w:sz w:val="24"/>
          <w:szCs w:val="24"/>
          <w:u w:val="single"/>
          <w14:textFill>
            <w14:solidFill>
              <w14:schemeClr w14:val="tx1"/>
            </w14:solidFill>
          </w14:textFill>
        </w:rPr>
        <w:t>202</w:t>
      </w:r>
      <w:r>
        <w:rPr>
          <w:rFonts w:hint="eastAsia" w:eastAsia="方正仿宋_GBK"/>
          <w:bCs/>
          <w:color w:val="000000" w:themeColor="text1"/>
          <w:sz w:val="24"/>
          <w:szCs w:val="24"/>
          <w:u w:val="single"/>
          <w:lang w:val="en-US" w:eastAsia="zh-CN"/>
          <w14:textFill>
            <w14:solidFill>
              <w14:schemeClr w14:val="tx1"/>
            </w14:solidFill>
          </w14:textFill>
        </w:rPr>
        <w:t>5</w:t>
      </w:r>
      <w:r>
        <w:rPr>
          <w:rFonts w:eastAsia="方正仿宋_GBK"/>
          <w:bCs/>
          <w:color w:val="000000" w:themeColor="text1"/>
          <w:sz w:val="24"/>
          <w:szCs w:val="24"/>
          <w:u w:val="single"/>
          <w14:textFill>
            <w14:solidFill>
              <w14:schemeClr w14:val="tx1"/>
            </w14:solidFill>
          </w14:textFill>
        </w:rPr>
        <w:t>年</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月</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日</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点</w:t>
      </w:r>
      <w:r>
        <w:rPr>
          <w:rFonts w:hint="eastAsia" w:eastAsia="方正仿宋_GBK"/>
          <w:bCs/>
          <w:color w:val="000000" w:themeColor="text1"/>
          <w:sz w:val="24"/>
          <w:szCs w:val="24"/>
          <w:u w:val="single"/>
          <w:lang w:val="en-US" w:eastAsia="zh-CN"/>
          <w14:textFill>
            <w14:solidFill>
              <w14:schemeClr w14:val="tx1"/>
            </w14:solidFill>
          </w14:textFill>
        </w:rPr>
        <w:t xml:space="preserve"> </w:t>
      </w:r>
      <w:r>
        <w:rPr>
          <w:rFonts w:eastAsia="方正仿宋_GBK"/>
          <w:bCs/>
          <w:color w:val="000000" w:themeColor="text1"/>
          <w:sz w:val="24"/>
          <w:szCs w:val="24"/>
          <w:u w:val="single"/>
          <w14:textFill>
            <w14:solidFill>
              <w14:schemeClr w14:val="tx1"/>
            </w14:solidFill>
          </w14:textFill>
        </w:rPr>
        <w:t>分</w:t>
      </w:r>
      <w:r>
        <w:rPr>
          <w:rFonts w:eastAsia="方正仿宋_GBK"/>
          <w:bCs/>
          <w:color w:val="000000" w:themeColor="text1"/>
          <w:sz w:val="24"/>
          <w:szCs w:val="24"/>
          <w14:textFill>
            <w14:solidFill>
              <w14:schemeClr w14:val="tx1"/>
            </w14:solidFill>
          </w14:textFill>
        </w:rPr>
        <w:t>（北京时间）</w:t>
      </w:r>
    </w:p>
    <w:p w14:paraId="6F8A9BE0">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2.地点：“苏采云”政府采购交易系统网上开标大厅。</w:t>
      </w:r>
    </w:p>
    <w:p w14:paraId="6E578973">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bookmarkStart w:id="29" w:name="_Toc28359007"/>
      <w:bookmarkStart w:id="30" w:name="_Toc35393794"/>
      <w:bookmarkStart w:id="31" w:name="_Toc28359084"/>
      <w:bookmarkStart w:id="32" w:name="_Toc35393625"/>
      <w:bookmarkStart w:id="33" w:name="_Toc38985267"/>
      <w:r>
        <w:rPr>
          <w:rFonts w:ascii="方正黑体_GBK" w:hAnsi="方正黑体_GBK" w:eastAsia="方正黑体_GBK" w:cs="方正黑体_GBK"/>
          <w:b/>
          <w:bCs/>
          <w:color w:val="000000" w:themeColor="text1"/>
          <w:sz w:val="24"/>
          <w:szCs w:val="24"/>
          <w14:textFill>
            <w14:solidFill>
              <w14:schemeClr w14:val="tx1"/>
            </w14:solidFill>
          </w14:textFill>
        </w:rPr>
        <w:t>五、公告期限</w:t>
      </w:r>
      <w:bookmarkEnd w:id="29"/>
      <w:bookmarkEnd w:id="30"/>
      <w:bookmarkEnd w:id="31"/>
      <w:bookmarkEnd w:id="32"/>
      <w:bookmarkEnd w:id="33"/>
    </w:p>
    <w:p w14:paraId="718B7AAB">
      <w:pPr>
        <w:spacing w:line="440" w:lineRule="exact"/>
        <w:ind w:firstLine="480" w:firstLineChars="200"/>
        <w:rPr>
          <w:rFonts w:eastAsia="方正仿宋_GBK"/>
          <w:color w:val="000000" w:themeColor="text1"/>
          <w:sz w:val="24"/>
          <w:szCs w:val="24"/>
          <w14:textFill>
            <w14:solidFill>
              <w14:schemeClr w14:val="tx1"/>
            </w14:solidFill>
          </w14:textFill>
        </w:rPr>
      </w:pPr>
      <w:bookmarkStart w:id="34" w:name="_Toc38985268"/>
      <w:bookmarkStart w:id="35" w:name="_Toc35393626"/>
      <w:bookmarkStart w:id="36" w:name="_Toc35393795"/>
      <w:r>
        <w:rPr>
          <w:rFonts w:eastAsia="方正仿宋_GBK"/>
          <w:color w:val="000000" w:themeColor="text1"/>
          <w:sz w:val="24"/>
          <w:szCs w:val="24"/>
          <w14:textFill>
            <w14:solidFill>
              <w14:schemeClr w14:val="tx1"/>
            </w14:solidFill>
          </w14:textFill>
        </w:rPr>
        <w:t>招标公告及招标文件公告期限为自本公告发布之日起5个工作日。</w:t>
      </w:r>
      <w:r>
        <w:rPr>
          <w:rFonts w:eastAsia="方正仿宋_GBK"/>
          <w:color w:val="000000" w:themeColor="text1"/>
          <w:sz w:val="24"/>
          <w:highlight w:val="white"/>
          <w14:textFill>
            <w14:solidFill>
              <w14:schemeClr w14:val="tx1"/>
            </w14:solidFill>
          </w14:textFill>
        </w:rPr>
        <w:t>招标公告发布媒体：宿迁市政府采购网</w:t>
      </w:r>
      <w:r>
        <w:rPr>
          <w:rFonts w:eastAsia="方正仿宋_GBK"/>
          <w:color w:val="000000" w:themeColor="text1"/>
          <w:sz w:val="24"/>
          <w:szCs w:val="28"/>
          <w:highlight w:val="white"/>
          <w14:textFill>
            <w14:solidFill>
              <w14:schemeClr w14:val="tx1"/>
            </w14:solidFill>
          </w14:textFill>
        </w:rPr>
        <w:t>、宿迁市公共资源交易平台</w:t>
      </w:r>
      <w:r>
        <w:rPr>
          <w:rFonts w:eastAsia="方正仿宋_GBK"/>
          <w:color w:val="000000" w:themeColor="text1"/>
          <w:sz w:val="24"/>
          <w:highlight w:val="white"/>
          <w14:textFill>
            <w14:solidFill>
              <w14:schemeClr w14:val="tx1"/>
            </w14:solidFill>
          </w14:textFill>
        </w:rPr>
        <w:t>、江苏省财政部门指定的媒体</w:t>
      </w:r>
      <w:r>
        <w:rPr>
          <w:rFonts w:eastAsia="方正仿宋_GBK"/>
          <w:color w:val="000000" w:themeColor="text1"/>
          <w:sz w:val="24"/>
          <w:szCs w:val="24"/>
          <w:highlight w:val="white"/>
          <w14:textFill>
            <w14:solidFill>
              <w14:schemeClr w14:val="tx1"/>
            </w14:solidFill>
          </w14:textFill>
        </w:rPr>
        <w:t>。</w:t>
      </w:r>
    </w:p>
    <w:p w14:paraId="045F9D82">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六、其他补充事宜</w:t>
      </w:r>
      <w:bookmarkEnd w:id="34"/>
      <w:bookmarkEnd w:id="35"/>
      <w:bookmarkEnd w:id="36"/>
    </w:p>
    <w:p w14:paraId="55DB22F7">
      <w:pPr>
        <w:spacing w:line="440" w:lineRule="exact"/>
        <w:ind w:firstLine="480" w:firstLineChars="200"/>
        <w:rPr>
          <w:rFonts w:eastAsia="方正仿宋_GBK"/>
          <w:color w:val="000000" w:themeColor="text1"/>
          <w:sz w:val="24"/>
          <w:highlight w:val="white"/>
          <w14:textFill>
            <w14:solidFill>
              <w14:schemeClr w14:val="tx1"/>
            </w14:solidFill>
          </w14:textFill>
        </w:rPr>
      </w:pPr>
      <w:bookmarkStart w:id="37" w:name="EB64e1f522fd8c43fcb4d3ba471386b3e7"/>
      <w:bookmarkStart w:id="38" w:name="_Toc38985269"/>
      <w:bookmarkStart w:id="39" w:name="_Toc28359008"/>
      <w:bookmarkStart w:id="40" w:name="_Toc35393796"/>
      <w:bookmarkStart w:id="41" w:name="_Toc35393627"/>
      <w:bookmarkStart w:id="42" w:name="_Toc28359085"/>
      <w:r>
        <w:rPr>
          <w:rFonts w:eastAsia="方正仿宋_GBK"/>
          <w:color w:val="000000" w:themeColor="text1"/>
          <w:sz w:val="24"/>
          <w:highlight w:val="white"/>
          <w14:textFill>
            <w14:solidFill>
              <w14:schemeClr w14:val="tx1"/>
            </w14:solidFill>
          </w14:textFill>
        </w:rPr>
        <w:t>1.财政部门监督电话：0527-84363063。</w:t>
      </w:r>
    </w:p>
    <w:p w14:paraId="004C97F5">
      <w:pPr>
        <w:spacing w:line="440" w:lineRule="exact"/>
        <w:ind w:firstLine="480" w:firstLineChars="20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2.“CA”数字证书办理：“苏采云”系统目前仅支持“苏采云”系统下的意源CA。省内各地区办理的“苏采云”系统下的意源CA全省通用。宿迁地区CA数字证书办理联系方式：18762803891。</w:t>
      </w:r>
    </w:p>
    <w:p w14:paraId="17D2CDD3">
      <w:pPr>
        <w:pStyle w:val="263"/>
        <w:spacing w:line="440" w:lineRule="exact"/>
        <w:ind w:firstLine="480" w:firstLineChars="200"/>
        <w:jc w:val="both"/>
        <w:rPr>
          <w:rFonts w:ascii="Times New Roman" w:hAnsi="Times New Roman" w:eastAsia="方正仿宋_GBK" w:cs="Times New Roman"/>
          <w:color w:val="000000" w:themeColor="text1"/>
          <w:sz w:val="24"/>
          <w:szCs w:val="21"/>
          <w:highlight w:val="white"/>
          <w:lang w:val="en-US"/>
          <w14:textFill>
            <w14:solidFill>
              <w14:schemeClr w14:val="tx1"/>
            </w14:solidFill>
          </w14:textFill>
        </w:rPr>
      </w:pPr>
      <w:r>
        <w:rPr>
          <w:rFonts w:ascii="Times New Roman" w:hAnsi="Times New Roman" w:eastAsia="方正仿宋_GBK" w:cs="Times New Roman"/>
          <w:color w:val="000000" w:themeColor="text1"/>
          <w:sz w:val="24"/>
          <w:szCs w:val="21"/>
          <w:highlight w:val="white"/>
          <w:lang w:val="en-US"/>
          <w14:textFill>
            <w14:solidFill>
              <w14:schemeClr w14:val="tx1"/>
            </w14:solidFill>
          </w14:textFill>
        </w:rPr>
        <w:t>3.宿迁地区“苏采云”技术支持客服电话：0527-84225125、0519-86722806。</w:t>
      </w:r>
    </w:p>
    <w:p w14:paraId="3AA68AE5">
      <w:pPr>
        <w:pStyle w:val="263"/>
        <w:spacing w:line="440" w:lineRule="exact"/>
        <w:ind w:firstLine="480" w:firstLineChars="200"/>
        <w:jc w:val="both"/>
        <w:rPr>
          <w:rFonts w:ascii="Times New Roman" w:hAnsi="Times New Roman" w:eastAsia="方正仿宋_GBK" w:cs="Times New Roman"/>
          <w:color w:val="000000" w:themeColor="text1"/>
          <w:sz w:val="24"/>
          <w:szCs w:val="21"/>
          <w:highlight w:val="white"/>
          <w:lang w:val="en-US"/>
          <w14:textFill>
            <w14:solidFill>
              <w14:schemeClr w14:val="tx1"/>
            </w14:solidFill>
          </w14:textFill>
        </w:rPr>
      </w:pPr>
      <w:r>
        <w:rPr>
          <w:rFonts w:ascii="Times New Roman" w:hAnsi="Times New Roman" w:eastAsia="方正仿宋_GBK" w:cs="Times New Roman"/>
          <w:color w:val="000000" w:themeColor="text1"/>
          <w:sz w:val="24"/>
          <w:szCs w:val="21"/>
          <w:highlight w:val="white"/>
          <w:lang w:val="en-US"/>
          <w14:textFill>
            <w14:solidFill>
              <w14:schemeClr w14:val="tx1"/>
            </w14:solidFill>
          </w14:textFill>
        </w:rPr>
        <w:t>4.如果投标人通过苏采云系统参与政府采购项目，相关操作手册详见链接：http://www.ccgp</w:t>
      </w:r>
      <w:r>
        <w:rPr>
          <w:rFonts w:hint="eastAsia" w:ascii="Times New Roman" w:hAnsi="Times New Roman" w:eastAsia="方正仿宋_GBK" w:cs="Times New Roman"/>
          <w:color w:val="000000" w:themeColor="text1"/>
          <w:sz w:val="24"/>
          <w:szCs w:val="21"/>
          <w:highlight w:val="white"/>
          <w:lang w:val="en-US"/>
          <w14:textFill>
            <w14:solidFill>
              <w14:schemeClr w14:val="tx1"/>
            </w14:solidFill>
          </w14:textFill>
        </w:rPr>
        <w:t>-</w:t>
      </w:r>
      <w:r>
        <w:rPr>
          <w:rFonts w:ascii="Times New Roman" w:hAnsi="Times New Roman" w:eastAsia="方正仿宋_GBK" w:cs="Times New Roman"/>
          <w:color w:val="000000" w:themeColor="text1"/>
          <w:sz w:val="24"/>
          <w:szCs w:val="21"/>
          <w:highlight w:val="white"/>
          <w:lang w:val="en-US"/>
          <w14:textFill>
            <w14:solidFill>
              <w14:schemeClr w14:val="tx1"/>
            </w14:solidFill>
          </w14:textFill>
        </w:rPr>
        <w:t>jiangsu.gov.cn/jiangsu/zlxz/ee/ee3a4bc5a3454aa2b0d9312230633ce9.html。</w:t>
      </w:r>
    </w:p>
    <w:bookmarkEnd w:id="37"/>
    <w:p w14:paraId="5909E391">
      <w:pPr>
        <w:spacing w:line="440" w:lineRule="exact"/>
        <w:ind w:firstLine="480" w:firstLineChars="200"/>
        <w:rPr>
          <w:rFonts w:eastAsia="方正仿宋_GBK"/>
          <w:b/>
          <w:bCs/>
          <w:iCs/>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 xml:space="preserve">5.现场勘察及答疑：本项目不组织集中勘察及答疑，投标人如对采购需求有疑问，请咨询采购单位联系人。 </w:t>
      </w:r>
    </w:p>
    <w:p w14:paraId="51403DF0">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七、本次招标联系方式</w:t>
      </w:r>
      <w:bookmarkEnd w:id="38"/>
      <w:bookmarkEnd w:id="39"/>
      <w:bookmarkEnd w:id="40"/>
      <w:bookmarkEnd w:id="41"/>
      <w:bookmarkEnd w:id="42"/>
    </w:p>
    <w:p w14:paraId="2CA7A1F7">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1.采购人信息</w:t>
      </w:r>
    </w:p>
    <w:p w14:paraId="28E311EB">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名 称：宿迁市住房和城乡建设局</w:t>
      </w:r>
    </w:p>
    <w:p w14:paraId="23F0972E">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地址：宿迁市洪泽湖路793号建设大厦</w:t>
      </w:r>
    </w:p>
    <w:p w14:paraId="1D855678">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联系人：蔡丹</w:t>
      </w:r>
    </w:p>
    <w:p w14:paraId="6A31A88C">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联系方式：</w:t>
      </w:r>
      <w:bookmarkStart w:id="43" w:name="_Toc28359009"/>
      <w:bookmarkStart w:id="44" w:name="_Toc28359086"/>
      <w:r>
        <w:rPr>
          <w:rFonts w:eastAsia="方正仿宋_GBK"/>
          <w:color w:val="000000" w:themeColor="text1"/>
          <w:sz w:val="24"/>
          <w:szCs w:val="24"/>
          <w14:textFill>
            <w14:solidFill>
              <w14:schemeClr w14:val="tx1"/>
            </w14:solidFill>
          </w14:textFill>
        </w:rPr>
        <w:t>15851160058</w:t>
      </w:r>
    </w:p>
    <w:p w14:paraId="5BB08DF4">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w:t>
      </w:r>
      <w:bookmarkEnd w:id="43"/>
      <w:bookmarkEnd w:id="44"/>
      <w:r>
        <w:rPr>
          <w:rFonts w:eastAsia="方正仿宋_GBK"/>
          <w:color w:val="000000" w:themeColor="text1"/>
          <w:sz w:val="24"/>
          <w:szCs w:val="24"/>
          <w14:textFill>
            <w14:solidFill>
              <w14:schemeClr w14:val="tx1"/>
            </w14:solidFill>
          </w14:textFill>
        </w:rPr>
        <w:t>采购代理机构信息</w:t>
      </w:r>
    </w:p>
    <w:p w14:paraId="5FA0E0C8">
      <w:pPr>
        <w:spacing w:line="440" w:lineRule="exact"/>
        <w:ind w:firstLine="480" w:firstLineChars="200"/>
        <w:rPr>
          <w:rFonts w:eastAsia="方正仿宋_GBK"/>
          <w:color w:val="000000" w:themeColor="text1"/>
          <w:sz w:val="24"/>
          <w:szCs w:val="24"/>
          <w14:textFill>
            <w14:solidFill>
              <w14:schemeClr w14:val="tx1"/>
            </w14:solidFill>
          </w14:textFill>
        </w:rPr>
      </w:pPr>
      <w:bookmarkStart w:id="45" w:name="_Toc28359087"/>
      <w:bookmarkStart w:id="46" w:name="_Toc28359010"/>
      <w:r>
        <w:rPr>
          <w:rFonts w:eastAsia="方正仿宋_GBK"/>
          <w:color w:val="000000" w:themeColor="text1"/>
          <w:sz w:val="24"/>
          <w:szCs w:val="24"/>
          <w14:textFill>
            <w14:solidFill>
              <w14:schemeClr w14:val="tx1"/>
            </w14:solidFill>
          </w14:textFill>
        </w:rPr>
        <w:t>名 称：江苏四维工程咨询管理有限公司</w:t>
      </w:r>
    </w:p>
    <w:p w14:paraId="57878717">
      <w:pPr>
        <w:tabs>
          <w:tab w:val="center" w:pos="4476"/>
        </w:tabs>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地址：宿迁经济技术开发区西湖上城西门</w:t>
      </w:r>
    </w:p>
    <w:p w14:paraId="48376928">
      <w:pPr>
        <w:spacing w:line="44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联系人：高蕊</w:t>
      </w:r>
    </w:p>
    <w:p w14:paraId="71F3709E">
      <w:pPr>
        <w:spacing w:line="440" w:lineRule="exact"/>
        <w:ind w:firstLine="480" w:firstLineChars="200"/>
        <w:rPr>
          <w:rFonts w:eastAsia="方正仿宋_GBK"/>
          <w:color w:val="000000" w:themeColor="text1"/>
          <w:sz w:val="24"/>
          <w:szCs w:val="24"/>
          <w:u w:val="single"/>
          <w14:textFill>
            <w14:solidFill>
              <w14:schemeClr w14:val="tx1"/>
            </w14:solidFill>
          </w14:textFill>
        </w:rPr>
      </w:pPr>
      <w:r>
        <w:rPr>
          <w:rFonts w:eastAsia="方正仿宋_GBK"/>
          <w:color w:val="000000" w:themeColor="text1"/>
          <w:sz w:val="24"/>
          <w:szCs w:val="24"/>
          <w14:textFill>
            <w14:solidFill>
              <w14:schemeClr w14:val="tx1"/>
            </w14:solidFill>
          </w14:textFill>
        </w:rPr>
        <w:t>联系方式：0527-84329688、18360041180</w:t>
      </w:r>
    </w:p>
    <w:bookmarkEnd w:id="45"/>
    <w:bookmarkEnd w:id="46"/>
    <w:p w14:paraId="72F5C1A4">
      <w:pPr>
        <w:pStyle w:val="189"/>
        <w:keepNext w:val="0"/>
        <w:keepLines w:val="0"/>
        <w:spacing w:before="0" w:after="0" w:line="44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八、其他</w:t>
      </w:r>
    </w:p>
    <w:p w14:paraId="28C60678">
      <w:pPr>
        <w:spacing w:line="440" w:lineRule="exact"/>
        <w:ind w:firstLine="480" w:firstLineChars="200"/>
        <w:rPr>
          <w:rFonts w:eastAsia="方正仿宋_GBK"/>
          <w:iCs/>
          <w:color w:val="000000" w:themeColor="text1"/>
          <w:sz w:val="24"/>
          <w:highlight w:val="white"/>
          <w14:textFill>
            <w14:solidFill>
              <w14:schemeClr w14:val="tx1"/>
            </w14:solidFill>
          </w14:textFill>
        </w:rPr>
      </w:pPr>
      <w:r>
        <w:rPr>
          <w:rFonts w:eastAsia="方正仿宋_GBK"/>
          <w:iCs/>
          <w:color w:val="000000" w:themeColor="text1"/>
          <w:sz w:val="24"/>
          <w:highlight w:val="white"/>
          <w14:textFill>
            <w14:solidFill>
              <w14:schemeClr w14:val="tx1"/>
            </w14:solidFill>
          </w14:textFill>
        </w:rPr>
        <w:t>1.有关本次招标的事项若存在变动或修改，敬请及时关注“宿迁市政府采购网”等平台更正公告。</w:t>
      </w:r>
    </w:p>
    <w:p w14:paraId="77293B4E">
      <w:pPr>
        <w:tabs>
          <w:tab w:val="left" w:pos="900"/>
        </w:tabs>
        <w:spacing w:line="440" w:lineRule="exact"/>
        <w:ind w:firstLine="480" w:firstLineChars="200"/>
        <w:rPr>
          <w:rFonts w:eastAsia="方正仿宋_GBK"/>
          <w:color w:val="000000" w:themeColor="text1"/>
          <w:sz w:val="24"/>
          <w14:textFill>
            <w14:solidFill>
              <w14:schemeClr w14:val="tx1"/>
            </w14:solidFill>
          </w14:textFill>
        </w:rPr>
      </w:pPr>
      <w:r>
        <w:rPr>
          <w:rFonts w:eastAsia="方正仿宋_GBK"/>
          <w:b/>
          <w:bCs/>
          <w:iCs/>
          <w:color w:val="000000" w:themeColor="text1"/>
          <w:sz w:val="24"/>
          <w:highlight w:val="white"/>
          <w14:textFill>
            <w14:solidFill>
              <w14:schemeClr w14:val="tx1"/>
            </w14:solidFill>
          </w14:textFill>
        </w:rPr>
        <w:t>2</w:t>
      </w:r>
      <w:r>
        <w:rPr>
          <w:rFonts w:eastAsia="方正仿宋_GBK"/>
          <w:bCs/>
          <w:color w:val="000000" w:themeColor="text1"/>
          <w:sz w:val="24"/>
          <w:szCs w:val="24"/>
          <w14:textFill>
            <w14:solidFill>
              <w14:schemeClr w14:val="tx1"/>
            </w14:solidFill>
          </w14:textFill>
        </w:rPr>
        <w:t>.本次招标不收取投标保证金。</w:t>
      </w:r>
    </w:p>
    <w:p w14:paraId="1F892586">
      <w:pPr>
        <w:ind w:right="84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br w:type="page" w:clear="all"/>
      </w:r>
    </w:p>
    <w:p w14:paraId="152A10D9">
      <w:pPr>
        <w:pStyle w:val="187"/>
        <w:keepNext w:val="0"/>
        <w:rPr>
          <w:rFonts w:ascii="方正小标宋_GBK" w:hAnsi="方正小标宋_GBK" w:eastAsia="方正小标宋_GBK" w:cs="方正小标宋_GBK"/>
          <w:color w:val="000000" w:themeColor="text1"/>
          <w:sz w:val="44"/>
          <w:szCs w:val="44"/>
          <w14:textFill>
            <w14:solidFill>
              <w14:schemeClr w14:val="tx1"/>
            </w14:solidFill>
          </w14:textFill>
        </w:rPr>
      </w:pPr>
      <w:bookmarkStart w:id="47" w:name="_Toc120614211"/>
      <w:r>
        <w:rPr>
          <w:rFonts w:ascii="方正小标宋_GBK" w:hAnsi="方正小标宋_GBK" w:eastAsia="方正小标宋_GBK" w:cs="方正小标宋_GBK"/>
          <w:color w:val="000000" w:themeColor="text1"/>
          <w:sz w:val="44"/>
          <w:szCs w:val="44"/>
          <w14:textFill>
            <w14:solidFill>
              <w14:schemeClr w14:val="tx1"/>
            </w14:solidFill>
          </w14:textFill>
        </w:rPr>
        <w:t xml:space="preserve">第二章  </w:t>
      </w:r>
      <w:bookmarkEnd w:id="2"/>
      <w:bookmarkEnd w:id="3"/>
      <w:bookmarkEnd w:id="4"/>
      <w:bookmarkEnd w:id="5"/>
      <w:bookmarkEnd w:id="6"/>
      <w:bookmarkEnd w:id="47"/>
      <w:bookmarkStart w:id="48" w:name="_Toc513029202"/>
      <w:bookmarkStart w:id="49" w:name="_Toc120614213"/>
      <w:bookmarkStart w:id="50" w:name="_Toc20823274"/>
      <w:bookmarkStart w:id="51" w:name="_Toc16938518"/>
      <w:r>
        <w:rPr>
          <w:rFonts w:ascii="方正小标宋_GBK" w:hAnsi="方正小标宋_GBK" w:eastAsia="方正小标宋_GBK" w:cs="方正小标宋_GBK"/>
          <w:color w:val="000000" w:themeColor="text1"/>
          <w:sz w:val="44"/>
          <w:szCs w:val="44"/>
          <w14:textFill>
            <w14:solidFill>
              <w14:schemeClr w14:val="tx1"/>
            </w14:solidFill>
          </w14:textFill>
        </w:rPr>
        <w:t>投标人须知</w:t>
      </w:r>
      <w:bookmarkEnd w:id="48"/>
      <w:bookmarkEnd w:id="49"/>
      <w:bookmarkEnd w:id="50"/>
      <w:bookmarkEnd w:id="51"/>
    </w:p>
    <w:p w14:paraId="5D2A4B9D">
      <w:pPr>
        <w:pStyle w:val="189"/>
        <w:keepNext w:val="0"/>
        <w:keepLines w:val="0"/>
        <w:spacing w:before="0" w:after="0" w:line="440" w:lineRule="exact"/>
        <w:ind w:firstLine="480" w:firstLineChars="200"/>
        <w:rPr>
          <w:rFonts w:hint="eastAsia" w:ascii="方正黑体_GBK" w:hAnsi="方正黑体_GBK" w:eastAsia="方正黑体_GBK" w:cs="方正黑体_GBK"/>
          <w:b/>
          <w:bCs/>
          <w:color w:val="000000" w:themeColor="text1"/>
          <w:sz w:val="24"/>
          <w:szCs w:val="24"/>
          <w14:textFill>
            <w14:solidFill>
              <w14:schemeClr w14:val="tx1"/>
            </w14:solidFill>
          </w14:textFill>
        </w:rPr>
      </w:pPr>
      <w:r>
        <w:rPr>
          <w:rFonts w:hint="eastAsia" w:ascii="方正黑体_GBK" w:hAnsi="方正黑体_GBK" w:eastAsia="方正黑体_GBK" w:cs="方正黑体_GBK"/>
          <w:b/>
          <w:bCs/>
          <w:color w:val="000000" w:themeColor="text1"/>
          <w:sz w:val="24"/>
          <w:szCs w:val="24"/>
          <w14:textFill>
            <w14:solidFill>
              <w14:schemeClr w14:val="tx1"/>
            </w14:solidFill>
          </w14:textFill>
        </w:rPr>
        <w:t>投标人须知前附表：</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15"/>
        <w:gridCol w:w="5786"/>
      </w:tblGrid>
      <w:tr w14:paraId="414C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9" w:type="dxa"/>
            <w:noWrap w:val="0"/>
            <w:vAlign w:val="center"/>
          </w:tcPr>
          <w:p w14:paraId="7CEE3A88">
            <w:pPr>
              <w:spacing w:line="440" w:lineRule="exact"/>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序号</w:t>
            </w:r>
          </w:p>
        </w:tc>
        <w:tc>
          <w:tcPr>
            <w:tcW w:w="2315" w:type="dxa"/>
            <w:noWrap w:val="0"/>
            <w:vAlign w:val="center"/>
          </w:tcPr>
          <w:p w14:paraId="550822BF">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内容</w:t>
            </w:r>
          </w:p>
        </w:tc>
        <w:tc>
          <w:tcPr>
            <w:tcW w:w="5786" w:type="dxa"/>
            <w:noWrap w:val="0"/>
            <w:vAlign w:val="center"/>
          </w:tcPr>
          <w:p w14:paraId="5111153F">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说明及要求</w:t>
            </w:r>
          </w:p>
        </w:tc>
      </w:tr>
      <w:tr w14:paraId="5F7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56BFFBD">
            <w:pPr>
              <w:spacing w:line="440" w:lineRule="exact"/>
              <w:ind w:firstLine="480" w:firstLineChars="200"/>
              <w:rPr>
                <w:rFonts w:hint="eastAsia"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1</w:t>
            </w:r>
          </w:p>
        </w:tc>
        <w:tc>
          <w:tcPr>
            <w:tcW w:w="2315" w:type="dxa"/>
            <w:noWrap w:val="0"/>
            <w:vAlign w:val="center"/>
          </w:tcPr>
          <w:p w14:paraId="37BBFCBE">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项目类别</w:t>
            </w:r>
          </w:p>
        </w:tc>
        <w:tc>
          <w:tcPr>
            <w:tcW w:w="5786" w:type="dxa"/>
            <w:noWrap w:val="0"/>
            <w:vAlign w:val="center"/>
          </w:tcPr>
          <w:p w14:paraId="6513B4DC">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本项目</w:t>
            </w:r>
            <w:bookmarkStart w:id="52" w:name="EB9a5853ee094f4f0ea6ec3169265f6f2c"/>
            <w:r>
              <w:rPr>
                <w:rFonts w:hint="eastAsia" w:eastAsia="方正仿宋_GBK"/>
                <w:color w:val="000000" w:themeColor="text1"/>
                <w:sz w:val="24"/>
                <w:highlight w:val="white"/>
                <w:lang w:val="en-US" w:eastAsia="zh-CN"/>
                <w14:textFill>
                  <w14:solidFill>
                    <w14:schemeClr w14:val="tx1"/>
                  </w14:solidFill>
                </w14:textFill>
              </w:rPr>
              <w:t>属性按以下第</w:t>
            </w:r>
            <w:r>
              <w:rPr>
                <w:rFonts w:hint="eastAsia" w:eastAsia="方正仿宋_GBK"/>
                <w:color w:val="000000" w:themeColor="text1"/>
                <w:sz w:val="24"/>
                <w:highlight w:val="white"/>
                <w:u w:val="single"/>
                <w14:textFill>
                  <w14:solidFill>
                    <w14:schemeClr w14:val="tx1"/>
                  </w14:solidFill>
                </w14:textFill>
              </w:rPr>
              <w:t xml:space="preserve"> </w:t>
            </w:r>
            <w:r>
              <w:rPr>
                <w:rFonts w:hint="eastAsia" w:eastAsia="方正仿宋_GBK"/>
                <w:color w:val="000000" w:themeColor="text1"/>
                <w:sz w:val="24"/>
                <w:highlight w:val="white"/>
                <w:u w:val="single"/>
                <w:lang w:val="en-US" w:eastAsia="zh-CN"/>
                <w14:textFill>
                  <w14:solidFill>
                    <w14:schemeClr w14:val="tx1"/>
                  </w14:solidFill>
                </w14:textFill>
              </w:rPr>
              <w:t>1</w:t>
            </w:r>
            <w:r>
              <w:rPr>
                <w:rFonts w:eastAsia="方正仿宋_GBK"/>
                <w:color w:val="000000" w:themeColor="text1"/>
                <w:sz w:val="24"/>
                <w:highlight w:val="white"/>
                <w:u w:val="single"/>
                <w14:textFill>
                  <w14:solidFill>
                    <w14:schemeClr w14:val="tx1"/>
                  </w14:solidFill>
                </w14:textFill>
              </w:rPr>
              <w:t xml:space="preserve"> </w:t>
            </w:r>
            <w:r>
              <w:rPr>
                <w:rFonts w:hint="eastAsia" w:eastAsia="方正仿宋_GBK"/>
                <w:color w:val="000000" w:themeColor="text1"/>
                <w:sz w:val="24"/>
                <w:highlight w:val="white"/>
                <w:lang w:val="en-US" w:eastAsia="zh-CN"/>
                <w14:textFill>
                  <w14:solidFill>
                    <w14:schemeClr w14:val="tx1"/>
                  </w14:solidFill>
                </w14:textFill>
              </w:rPr>
              <w:t>种确定：1</w:t>
            </w:r>
            <w:bookmarkEnd w:id="52"/>
            <w:r>
              <w:rPr>
                <w:rFonts w:hint="eastAsia" w:eastAsia="方正仿宋_GBK"/>
                <w:color w:val="000000" w:themeColor="text1"/>
                <w:sz w:val="24"/>
                <w:highlight w:val="white"/>
                <w:lang w:val="en-US" w:eastAsia="zh-CN"/>
                <w14:textFill>
                  <w14:solidFill>
                    <w14:schemeClr w14:val="tx1"/>
                  </w14:solidFill>
                </w14:textFill>
              </w:rPr>
              <w:t>.</w:t>
            </w:r>
            <w:r>
              <w:rPr>
                <w:rFonts w:hint="eastAsia" w:eastAsia="方正仿宋_GBK"/>
                <w:color w:val="000000" w:themeColor="text1"/>
                <w:sz w:val="24"/>
                <w:highlight w:val="white"/>
                <w14:textFill>
                  <w14:solidFill>
                    <w14:schemeClr w14:val="tx1"/>
                  </w14:solidFill>
                </w14:textFill>
              </w:rPr>
              <w:t>货物</w:t>
            </w:r>
            <w:bookmarkStart w:id="53" w:name="EBd5c6c026f9674c39b21b31ecd0c1e7fa"/>
            <w:r>
              <w:rPr>
                <w:rFonts w:hint="eastAsia" w:eastAsia="方正仿宋_GBK"/>
                <w:color w:val="000000" w:themeColor="text1"/>
                <w:sz w:val="24"/>
                <w:highlight w:val="white"/>
                <w:lang w:val="en-US" w:eastAsia="zh-CN"/>
                <w14:textFill>
                  <w14:solidFill>
                    <w14:schemeClr w14:val="tx1"/>
                  </w14:solidFill>
                </w14:textFill>
              </w:rPr>
              <w:t>采购；2.</w:t>
            </w:r>
            <w:bookmarkEnd w:id="53"/>
            <w:r>
              <w:rPr>
                <w:rFonts w:hint="eastAsia" w:eastAsia="方正仿宋_GBK"/>
                <w:color w:val="000000" w:themeColor="text1"/>
                <w:sz w:val="24"/>
                <w:highlight w:val="white"/>
                <w14:textFill>
                  <w14:solidFill>
                    <w14:schemeClr w14:val="tx1"/>
                  </w14:solidFill>
                </w14:textFill>
              </w:rPr>
              <w:t>服务</w:t>
            </w:r>
            <w:bookmarkStart w:id="54" w:name="EBf7d2a4f44ecb4166a93ea852e73be69f"/>
            <w:r>
              <w:rPr>
                <w:rFonts w:hint="eastAsia" w:eastAsia="方正仿宋_GBK"/>
                <w:color w:val="000000" w:themeColor="text1"/>
                <w:sz w:val="24"/>
                <w:highlight w:val="white"/>
                <w:lang w:val="en-US" w:eastAsia="zh-CN"/>
                <w14:textFill>
                  <w14:solidFill>
                    <w14:schemeClr w14:val="tx1"/>
                  </w14:solidFill>
                </w14:textFill>
              </w:rPr>
              <w:t>采购；3.</w:t>
            </w:r>
            <w:bookmarkEnd w:id="54"/>
            <w:r>
              <w:rPr>
                <w:rFonts w:hint="eastAsia" w:eastAsia="方正仿宋_GBK"/>
                <w:color w:val="000000" w:themeColor="text1"/>
                <w:sz w:val="24"/>
                <w:highlight w:val="white"/>
                <w14:textFill>
                  <w14:solidFill>
                    <w14:schemeClr w14:val="tx1"/>
                  </w14:solidFill>
                </w14:textFill>
              </w:rPr>
              <w:t>工程采购。</w:t>
            </w:r>
          </w:p>
        </w:tc>
      </w:tr>
      <w:tr w14:paraId="5666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0C1DFFB">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2</w:t>
            </w:r>
          </w:p>
        </w:tc>
        <w:tc>
          <w:tcPr>
            <w:tcW w:w="2315" w:type="dxa"/>
            <w:noWrap w:val="0"/>
            <w:vAlign w:val="center"/>
          </w:tcPr>
          <w:p w14:paraId="002A0EF4">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投标有效期</w:t>
            </w:r>
          </w:p>
        </w:tc>
        <w:tc>
          <w:tcPr>
            <w:tcW w:w="5786" w:type="dxa"/>
            <w:noWrap w:val="0"/>
            <w:vAlign w:val="center"/>
          </w:tcPr>
          <w:p w14:paraId="3B49ABED">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bookmarkStart w:id="55" w:name="EBd40b5fb42f2944a3b45e579ce3941f02"/>
            <w:bookmarkEnd w:id="55"/>
            <w:r>
              <w:rPr>
                <w:rFonts w:hint="eastAsia" w:eastAsia="方正仿宋_GBK"/>
                <w:color w:val="000000" w:themeColor="text1"/>
                <w:sz w:val="24"/>
                <w:highlight w:val="white"/>
                <w:lang w:val="en-US" w:eastAsia="zh-CN"/>
                <w14:textFill>
                  <w14:solidFill>
                    <w14:schemeClr w14:val="tx1"/>
                  </w14:solidFill>
                </w14:textFill>
              </w:rPr>
              <w:t>60</w:t>
            </w:r>
            <w:r>
              <w:rPr>
                <w:rFonts w:hint="eastAsia" w:eastAsia="方正仿宋_GBK"/>
                <w:color w:val="000000" w:themeColor="text1"/>
                <w:sz w:val="24"/>
                <w:highlight w:val="white"/>
                <w14:textFill>
                  <w14:solidFill>
                    <w14:schemeClr w14:val="tx1"/>
                  </w14:solidFill>
                </w14:textFill>
              </w:rPr>
              <w:t>日（从提交投标文件截止之日起算）</w:t>
            </w:r>
          </w:p>
        </w:tc>
      </w:tr>
      <w:tr w14:paraId="7B61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9B5D963">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3</w:t>
            </w:r>
          </w:p>
        </w:tc>
        <w:tc>
          <w:tcPr>
            <w:tcW w:w="2315" w:type="dxa"/>
            <w:noWrap w:val="0"/>
            <w:vAlign w:val="center"/>
          </w:tcPr>
          <w:p w14:paraId="15C728D9">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投标文件份数</w:t>
            </w:r>
          </w:p>
        </w:tc>
        <w:tc>
          <w:tcPr>
            <w:tcW w:w="5786" w:type="dxa"/>
            <w:noWrap w:val="0"/>
            <w:vAlign w:val="center"/>
          </w:tcPr>
          <w:p w14:paraId="65DA8B7F">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提交加密电子投标文件1份。</w:t>
            </w:r>
          </w:p>
        </w:tc>
      </w:tr>
      <w:tr w14:paraId="2518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2225E58">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4</w:t>
            </w:r>
          </w:p>
        </w:tc>
        <w:tc>
          <w:tcPr>
            <w:tcW w:w="2315" w:type="dxa"/>
            <w:noWrap w:val="0"/>
            <w:vAlign w:val="center"/>
          </w:tcPr>
          <w:p w14:paraId="1034DC03">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开标</w:t>
            </w:r>
          </w:p>
        </w:tc>
        <w:tc>
          <w:tcPr>
            <w:tcW w:w="5786" w:type="dxa"/>
            <w:noWrap w:val="0"/>
            <w:vAlign w:val="center"/>
          </w:tcPr>
          <w:p w14:paraId="293C80D0">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eastAsia="zh-CN"/>
                <w14:textFill>
                  <w14:solidFill>
                    <w14:schemeClr w14:val="tx1"/>
                  </w14:solidFill>
                </w14:textFill>
              </w:rPr>
              <w:t>“</w:t>
            </w:r>
            <w:r>
              <w:rPr>
                <w:rFonts w:hint="eastAsia" w:eastAsia="方正仿宋_GBK"/>
                <w:color w:val="000000" w:themeColor="text1"/>
                <w:sz w:val="24"/>
                <w:highlight w:val="white"/>
                <w:lang w:val="en-US" w:eastAsia="zh-CN"/>
                <w14:textFill>
                  <w14:solidFill>
                    <w14:schemeClr w14:val="tx1"/>
                  </w14:solidFill>
                </w14:textFill>
              </w:rPr>
              <w:t>苏采云</w:t>
            </w:r>
            <w:r>
              <w:rPr>
                <w:rFonts w:hint="eastAsia" w:eastAsia="方正仿宋_GBK"/>
                <w:color w:val="000000" w:themeColor="text1"/>
                <w:sz w:val="24"/>
                <w:highlight w:val="white"/>
                <w:lang w:eastAsia="zh-CN"/>
                <w14:textFill>
                  <w14:solidFill>
                    <w14:schemeClr w14:val="tx1"/>
                  </w14:solidFill>
                </w14:textFill>
              </w:rPr>
              <w:t>”</w:t>
            </w:r>
            <w:r>
              <w:rPr>
                <w:rFonts w:hint="eastAsia" w:eastAsia="方正仿宋_GBK"/>
                <w:color w:val="000000" w:themeColor="text1"/>
                <w:sz w:val="24"/>
                <w:highlight w:val="white"/>
                <w:lang w:val="en-US" w:eastAsia="zh-CN"/>
                <w14:textFill>
                  <w14:solidFill>
                    <w14:schemeClr w14:val="tx1"/>
                  </w14:solidFill>
                </w14:textFill>
              </w:rPr>
              <w:t>政府采购交易系统网上开标大厅进行不见面开标。</w:t>
            </w:r>
          </w:p>
        </w:tc>
      </w:tr>
      <w:tr w14:paraId="624C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1A98C40">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5</w:t>
            </w:r>
          </w:p>
        </w:tc>
        <w:tc>
          <w:tcPr>
            <w:tcW w:w="2315" w:type="dxa"/>
            <w:noWrap w:val="0"/>
            <w:vAlign w:val="center"/>
          </w:tcPr>
          <w:p w14:paraId="5D2FB5D0">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进口产品</w:t>
            </w:r>
          </w:p>
        </w:tc>
        <w:tc>
          <w:tcPr>
            <w:tcW w:w="5786" w:type="dxa"/>
            <w:noWrap w:val="0"/>
            <w:vAlign w:val="center"/>
          </w:tcPr>
          <w:p w14:paraId="4B96A170">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按以下第</w:t>
            </w:r>
            <w:r>
              <w:rPr>
                <w:rFonts w:hint="eastAsia" w:eastAsia="方正仿宋_GBK"/>
                <w:color w:val="000000" w:themeColor="text1"/>
                <w:sz w:val="24"/>
                <w:highlight w:val="white"/>
                <w:u w:val="single"/>
                <w14:textFill>
                  <w14:solidFill>
                    <w14:schemeClr w14:val="tx1"/>
                  </w14:solidFill>
                </w14:textFill>
              </w:rPr>
              <w:t xml:space="preserve"> 2</w:t>
            </w:r>
            <w:r>
              <w:rPr>
                <w:rFonts w:eastAsia="方正仿宋_GBK"/>
                <w:color w:val="000000" w:themeColor="text1"/>
                <w:sz w:val="24"/>
                <w:highlight w:val="white"/>
                <w:u w:val="single"/>
                <w14:textFill>
                  <w14:solidFill>
                    <w14:schemeClr w14:val="tx1"/>
                  </w14:solidFill>
                </w14:textFill>
              </w:rPr>
              <w:t xml:space="preserve"> </w:t>
            </w:r>
            <w:r>
              <w:rPr>
                <w:rFonts w:hint="eastAsia" w:eastAsia="方正仿宋_GBK"/>
                <w:color w:val="000000" w:themeColor="text1"/>
                <w:sz w:val="24"/>
                <w:highlight w:val="white"/>
                <w:lang w:val="en-US" w:eastAsia="zh-CN"/>
                <w14:textFill>
                  <w14:solidFill>
                    <w14:schemeClr w14:val="tx1"/>
                  </w14:solidFill>
                </w14:textFill>
              </w:rPr>
              <w:t>种方式确定：1.接受进口产品。应当符合《政府采购进口产品管理办法》(财库(2007)119 号文)、《关于政府采购进口产品管理有关问题的通知》(财办库(2008)248号文)等相关规定;2.不接受进口产品。</w:t>
            </w:r>
          </w:p>
        </w:tc>
      </w:tr>
      <w:tr w14:paraId="31A1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7E73437">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6</w:t>
            </w:r>
          </w:p>
        </w:tc>
        <w:tc>
          <w:tcPr>
            <w:tcW w:w="2315" w:type="dxa"/>
            <w:noWrap w:val="0"/>
            <w:vAlign w:val="center"/>
          </w:tcPr>
          <w:p w14:paraId="2A21EDC1">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评标办法</w:t>
            </w:r>
          </w:p>
        </w:tc>
        <w:tc>
          <w:tcPr>
            <w:tcW w:w="5786" w:type="dxa"/>
            <w:noWrap w:val="0"/>
            <w:vAlign w:val="center"/>
          </w:tcPr>
          <w:p w14:paraId="119F3056">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具体评标办法详见招标文件第</w:t>
            </w:r>
            <w:r>
              <w:rPr>
                <w:rFonts w:hint="eastAsia" w:eastAsia="方正仿宋_GBK"/>
                <w:color w:val="000000" w:themeColor="text1"/>
                <w:sz w:val="24"/>
                <w:highlight w:val="white"/>
                <w:lang w:eastAsia="zh-CN"/>
                <w14:textFill>
                  <w14:solidFill>
                    <w14:schemeClr w14:val="tx1"/>
                  </w14:solidFill>
                </w14:textFill>
              </w:rPr>
              <w:t>五章</w:t>
            </w:r>
            <w:r>
              <w:rPr>
                <w:rFonts w:hint="eastAsia" w:eastAsia="方正仿宋_GBK"/>
                <w:color w:val="000000" w:themeColor="text1"/>
                <w:sz w:val="24"/>
                <w:highlight w:val="white"/>
                <w14:textFill>
                  <w14:solidFill>
                    <w14:schemeClr w14:val="tx1"/>
                  </w14:solidFill>
                </w14:textFill>
              </w:rPr>
              <w:t>。</w:t>
            </w:r>
          </w:p>
          <w:p w14:paraId="2F61AACB">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评标委员会按照招标文件规定评标办法和标准推荐1-3名中标候选人。</w:t>
            </w:r>
          </w:p>
        </w:tc>
      </w:tr>
      <w:tr w14:paraId="471F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FD84170">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7</w:t>
            </w:r>
          </w:p>
        </w:tc>
        <w:tc>
          <w:tcPr>
            <w:tcW w:w="2315" w:type="dxa"/>
            <w:noWrap w:val="0"/>
            <w:vAlign w:val="center"/>
          </w:tcPr>
          <w:p w14:paraId="7438F9F1">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分包要求</w:t>
            </w:r>
          </w:p>
        </w:tc>
        <w:tc>
          <w:tcPr>
            <w:tcW w:w="5786" w:type="dxa"/>
            <w:noWrap w:val="0"/>
            <w:vAlign w:val="center"/>
          </w:tcPr>
          <w:p w14:paraId="2DCEE25B">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bookmarkStart w:id="56" w:name="EBebac1462c5d9459fbda8a75065c2455d"/>
            <w:r>
              <w:rPr>
                <w:rFonts w:hint="eastAsia" w:eastAsia="方正仿宋_GBK"/>
                <w:color w:val="000000" w:themeColor="text1"/>
                <w:sz w:val="24"/>
                <w:highlight w:val="white"/>
                <w14:textFill>
                  <w14:solidFill>
                    <w14:schemeClr w14:val="tx1"/>
                  </w14:solidFill>
                </w14:textFill>
              </w:rPr>
              <w:t>本项目的非主体、非关键性工作是否允许分包</w:t>
            </w:r>
            <w:r>
              <w:rPr>
                <w:rFonts w:hint="eastAsia" w:eastAsia="方正仿宋_GBK"/>
                <w:color w:val="000000" w:themeColor="text1"/>
                <w:sz w:val="24"/>
                <w:highlight w:val="white"/>
                <w:lang w:val="en-US" w:eastAsia="zh-CN"/>
                <w14:textFill>
                  <w14:solidFill>
                    <w14:schemeClr w14:val="tx1"/>
                  </w14:solidFill>
                </w14:textFill>
              </w:rPr>
              <w:t>按以下第</w:t>
            </w:r>
            <w:r>
              <w:rPr>
                <w:rFonts w:hint="eastAsia" w:eastAsia="方正仿宋_GBK"/>
                <w:color w:val="000000" w:themeColor="text1"/>
                <w:sz w:val="24"/>
                <w:highlight w:val="white"/>
                <w:u w:val="single"/>
                <w14:textFill>
                  <w14:solidFill>
                    <w14:schemeClr w14:val="tx1"/>
                  </w14:solidFill>
                </w14:textFill>
              </w:rPr>
              <w:t xml:space="preserve"> 2</w:t>
            </w:r>
            <w:r>
              <w:rPr>
                <w:rFonts w:eastAsia="方正仿宋_GBK"/>
                <w:color w:val="000000" w:themeColor="text1"/>
                <w:sz w:val="24"/>
                <w:highlight w:val="white"/>
                <w:u w:val="single"/>
                <w14:textFill>
                  <w14:solidFill>
                    <w14:schemeClr w14:val="tx1"/>
                  </w14:solidFill>
                </w14:textFill>
              </w:rPr>
              <w:t xml:space="preserve"> </w:t>
            </w:r>
            <w:r>
              <w:rPr>
                <w:rFonts w:hint="eastAsia" w:eastAsia="方正仿宋_GBK"/>
                <w:color w:val="000000" w:themeColor="text1"/>
                <w:sz w:val="24"/>
                <w:highlight w:val="white"/>
                <w:lang w:val="en-US" w:eastAsia="zh-CN"/>
                <w14:textFill>
                  <w14:solidFill>
                    <w14:schemeClr w14:val="tx1"/>
                  </w14:solidFill>
                </w14:textFill>
              </w:rPr>
              <w:t>种方式确定</w:t>
            </w:r>
            <w:r>
              <w:rPr>
                <w:rFonts w:hint="eastAsia" w:eastAsia="方正仿宋_GBK"/>
                <w:color w:val="000000" w:themeColor="text1"/>
                <w:sz w:val="24"/>
                <w:highlight w:val="white"/>
                <w14:textFill>
                  <w14:solidFill>
                    <w14:schemeClr w14:val="tx1"/>
                  </w14:solidFill>
                </w14:textFill>
              </w:rPr>
              <w:t>：</w:t>
            </w:r>
          </w:p>
          <w:p w14:paraId="26C61250">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1.</w:t>
            </w:r>
            <w:bookmarkEnd w:id="56"/>
            <w:r>
              <w:rPr>
                <w:rFonts w:hint="eastAsia" w:eastAsia="方正仿宋_GBK"/>
                <w:color w:val="000000" w:themeColor="text1"/>
                <w:sz w:val="24"/>
                <w:highlight w:val="white"/>
                <w14:textFill>
                  <w14:solidFill>
                    <w14:schemeClr w14:val="tx1"/>
                  </w14:solidFill>
                </w14:textFill>
              </w:rPr>
              <w:t>允许分包，</w:t>
            </w:r>
            <w:bookmarkStart w:id="57" w:name="EB512ba06683724173802e2aae54a26079"/>
            <w:r>
              <w:rPr>
                <w:rFonts w:hint="eastAsia" w:eastAsia="方正仿宋_GBK"/>
                <w:color w:val="000000" w:themeColor="text1"/>
                <w:sz w:val="24"/>
                <w:highlight w:val="white"/>
                <w14:textFill>
                  <w14:solidFill>
                    <w14:schemeClr w14:val="tx1"/>
                  </w14:solidFill>
                </w14:textFill>
              </w:rPr>
              <w:t>允许大中型企业向一家或者多家小微企业分包，分包具体内容、金额或比例：</w:t>
            </w:r>
            <w:bookmarkEnd w:id="57"/>
            <w:r>
              <w:rPr>
                <w:rFonts w:hint="eastAsia" w:eastAsia="方正仿宋_GBK"/>
                <w:color w:val="000000" w:themeColor="text1"/>
                <w:sz w:val="24"/>
                <w:highlight w:val="white"/>
                <w:lang w:val="en-US" w:eastAsia="zh-CN"/>
                <w14:textFill>
                  <w14:solidFill>
                    <w14:schemeClr w14:val="tx1"/>
                  </w14:solidFill>
                </w14:textFill>
              </w:rPr>
              <w:t>无；</w:t>
            </w:r>
          </w:p>
          <w:p w14:paraId="0D26E0D6">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2.</w:t>
            </w:r>
            <w:r>
              <w:rPr>
                <w:rFonts w:hint="eastAsia" w:eastAsia="方正仿宋_GBK"/>
                <w:color w:val="000000" w:themeColor="text1"/>
                <w:sz w:val="24"/>
                <w:highlight w:val="white"/>
                <w14:textFill>
                  <w14:solidFill>
                    <w14:schemeClr w14:val="tx1"/>
                  </w14:solidFill>
                </w14:textFill>
              </w:rPr>
              <w:t>不允许分包。</w:t>
            </w:r>
          </w:p>
        </w:tc>
      </w:tr>
      <w:tr w14:paraId="53C6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3D7436B">
            <w:pPr>
              <w:spacing w:line="440" w:lineRule="exact"/>
              <w:ind w:firstLine="480" w:firstLineChars="200"/>
              <w:rPr>
                <w:rFonts w:hint="default"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lang w:val="en-US" w:eastAsia="zh-CN"/>
                <w14:textFill>
                  <w14:solidFill>
                    <w14:schemeClr w14:val="tx1"/>
                  </w14:solidFill>
                </w14:textFill>
              </w:rPr>
              <w:t>8</w:t>
            </w:r>
          </w:p>
        </w:tc>
        <w:tc>
          <w:tcPr>
            <w:tcW w:w="2315" w:type="dxa"/>
            <w:noWrap w:val="0"/>
            <w:vAlign w:val="center"/>
          </w:tcPr>
          <w:p w14:paraId="4C7C8DC2">
            <w:pPr>
              <w:spacing w:line="440" w:lineRule="exact"/>
              <w:ind w:firstLine="480" w:firstLineChars="200"/>
              <w:rPr>
                <w:rFonts w:hint="eastAsia"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其他</w:t>
            </w:r>
          </w:p>
        </w:tc>
        <w:tc>
          <w:tcPr>
            <w:tcW w:w="5786" w:type="dxa"/>
            <w:noWrap w:val="0"/>
            <w:vAlign w:val="center"/>
          </w:tcPr>
          <w:p w14:paraId="75574450">
            <w:pPr>
              <w:numPr>
                <w:ilvl w:val="0"/>
                <w:numId w:val="0"/>
              </w:numPr>
              <w:spacing w:line="440" w:lineRule="exact"/>
              <w:rPr>
                <w:rFonts w:hint="eastAsia" w:eastAsia="方正仿宋_GBK"/>
                <w:color w:val="000000" w:themeColor="text1"/>
                <w:sz w:val="24"/>
                <w:highlight w:val="white"/>
                <w:lang w:val="en-US" w:eastAsia="zh-CN"/>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信用信息查询截止时点：资格审查结束前。由采购人在资格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tc>
      </w:tr>
    </w:tbl>
    <w:p w14:paraId="1205F6C6">
      <w:pPr>
        <w:spacing w:line="400" w:lineRule="exact"/>
        <w:rPr>
          <w:color w:val="000000" w:themeColor="text1"/>
          <w14:textFill>
            <w14:solidFill>
              <w14:schemeClr w14:val="tx1"/>
            </w14:solidFill>
          </w14:textFill>
        </w:rPr>
      </w:pPr>
    </w:p>
    <w:p w14:paraId="02E6D08F">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bookmarkStart w:id="58" w:name="_Toc513029203"/>
      <w:bookmarkStart w:id="59" w:name="_Toc120614214"/>
      <w:bookmarkStart w:id="60" w:name="_Toc16938519"/>
      <w:bookmarkStart w:id="61" w:name="_Toc20823275"/>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一、总则</w:t>
      </w:r>
      <w:bookmarkEnd w:id="58"/>
      <w:bookmarkEnd w:id="59"/>
      <w:bookmarkEnd w:id="60"/>
      <w:bookmarkEnd w:id="61"/>
    </w:p>
    <w:p w14:paraId="50B878EE">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62" w:name="_Hlt16619475"/>
      <w:bookmarkEnd w:id="62"/>
      <w:bookmarkStart w:id="63" w:name="_Toc458694821"/>
      <w:bookmarkStart w:id="64" w:name="_Toc20823276"/>
      <w:bookmarkStart w:id="65" w:name="_Toc513029204"/>
      <w:bookmarkStart w:id="66" w:name="_Toc16938520"/>
      <w:r>
        <w:rPr>
          <w:rFonts w:ascii="Times New Roman" w:hAnsi="Times New Roman" w:eastAsia="方正黑体_GBK" w:cs="Times New Roman"/>
          <w:b w:val="0"/>
          <w:bCs w:val="0"/>
          <w:color w:val="000000" w:themeColor="text1"/>
          <w:sz w:val="24"/>
          <w:szCs w:val="24"/>
          <w14:textFill>
            <w14:solidFill>
              <w14:schemeClr w14:val="tx1"/>
            </w14:solidFill>
          </w14:textFill>
        </w:rPr>
        <w:t>1</w:t>
      </w:r>
      <w:bookmarkEnd w:id="63"/>
      <w:r>
        <w:rPr>
          <w:rFonts w:ascii="Times New Roman" w:hAnsi="Times New Roman" w:eastAsia="方正黑体_GBK" w:cs="Times New Roman"/>
          <w:b w:val="0"/>
          <w:bCs w:val="0"/>
          <w:color w:val="000000" w:themeColor="text1"/>
          <w:sz w:val="24"/>
          <w:szCs w:val="24"/>
          <w14:textFill>
            <w14:solidFill>
              <w14:schemeClr w14:val="tx1"/>
            </w14:solidFill>
          </w14:textFill>
        </w:rPr>
        <w:t>、招标方式</w:t>
      </w:r>
      <w:bookmarkEnd w:id="64"/>
      <w:bookmarkEnd w:id="65"/>
      <w:bookmarkEnd w:id="66"/>
    </w:p>
    <w:p w14:paraId="1078CBF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1.1 本次招标采取公开招标方式，本招标文件仅适用于招标公告中所述项目。</w:t>
      </w:r>
    </w:p>
    <w:p w14:paraId="2D81002C">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67" w:name="_Toc16938521"/>
      <w:bookmarkStart w:id="68" w:name="_Toc20823277"/>
      <w:bookmarkStart w:id="69" w:name="_Toc513029205"/>
      <w:r>
        <w:rPr>
          <w:rFonts w:ascii="Times New Roman" w:hAnsi="Times New Roman" w:eastAsia="方正黑体_GBK" w:cs="Times New Roman"/>
          <w:b w:val="0"/>
          <w:bCs w:val="0"/>
          <w:color w:val="000000" w:themeColor="text1"/>
          <w:sz w:val="24"/>
          <w:szCs w:val="24"/>
          <w14:textFill>
            <w14:solidFill>
              <w14:schemeClr w14:val="tx1"/>
            </w14:solidFill>
          </w14:textFill>
        </w:rPr>
        <w:t>2、合格的投标人</w:t>
      </w:r>
      <w:bookmarkEnd w:id="67"/>
      <w:bookmarkEnd w:id="68"/>
      <w:bookmarkEnd w:id="69"/>
    </w:p>
    <w:p w14:paraId="158AB5B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2.1满足招标公告中投标人的资格要求的规定。</w:t>
      </w:r>
    </w:p>
    <w:p w14:paraId="68C8083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2.2 满足本文件实质性要求和条件的规定。</w:t>
      </w:r>
    </w:p>
    <w:p w14:paraId="0FB0B123">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70" w:name="_Toc16938522"/>
      <w:bookmarkStart w:id="71" w:name="_Toc20823278"/>
      <w:bookmarkStart w:id="72" w:name="_Toc513029206"/>
      <w:r>
        <w:rPr>
          <w:rFonts w:ascii="Times New Roman" w:hAnsi="Times New Roman" w:eastAsia="方正黑体_GBK" w:cs="Times New Roman"/>
          <w:b w:val="0"/>
          <w:bCs w:val="0"/>
          <w:color w:val="000000" w:themeColor="text1"/>
          <w:sz w:val="24"/>
          <w:szCs w:val="24"/>
          <w14:textFill>
            <w14:solidFill>
              <w14:schemeClr w14:val="tx1"/>
            </w14:solidFill>
          </w14:textFill>
        </w:rPr>
        <w:t>3、适用法律</w:t>
      </w:r>
      <w:bookmarkEnd w:id="70"/>
      <w:bookmarkEnd w:id="71"/>
      <w:bookmarkEnd w:id="72"/>
    </w:p>
    <w:p w14:paraId="38B0128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3.1 本次招标及由此产生的合同受中华人民共和国有关的法律法规制约和保护。</w:t>
      </w:r>
    </w:p>
    <w:p w14:paraId="36DDB782">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73" w:name="_Toc16938523"/>
      <w:bookmarkStart w:id="74" w:name="_Toc462564067"/>
      <w:bookmarkStart w:id="75" w:name="_Toc513029207"/>
      <w:bookmarkStart w:id="76" w:name="_Toc20823279"/>
      <w:r>
        <w:rPr>
          <w:rFonts w:ascii="Times New Roman" w:hAnsi="Times New Roman" w:eastAsia="方正黑体_GBK" w:cs="Times New Roman"/>
          <w:b w:val="0"/>
          <w:bCs w:val="0"/>
          <w:color w:val="000000" w:themeColor="text1"/>
          <w:sz w:val="24"/>
          <w:szCs w:val="24"/>
          <w14:textFill>
            <w14:solidFill>
              <w14:schemeClr w14:val="tx1"/>
            </w14:solidFill>
          </w14:textFill>
        </w:rPr>
        <w:t>4、投标费用</w:t>
      </w:r>
      <w:bookmarkEnd w:id="73"/>
      <w:bookmarkEnd w:id="74"/>
      <w:bookmarkEnd w:id="75"/>
      <w:bookmarkEnd w:id="76"/>
    </w:p>
    <w:p w14:paraId="2F96FFF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4.1 投标人应自行承担所有与参加投标有关的费用，无论投标过程中的做法和结果如何，</w:t>
      </w:r>
      <w:r>
        <w:rPr>
          <w:rFonts w:eastAsia="方正仿宋_GBK"/>
          <w:color w:val="000000" w:themeColor="text1"/>
          <w:sz w:val="24"/>
          <w:szCs w:val="24"/>
          <w:u w:val="single"/>
          <w14:textFill>
            <w14:solidFill>
              <w14:schemeClr w14:val="tx1"/>
            </w14:solidFill>
          </w14:textFill>
        </w:rPr>
        <w:t>江苏四维工程咨询管理有限公司</w:t>
      </w:r>
      <w:r>
        <w:rPr>
          <w:rFonts w:eastAsia="方正仿宋_GBK"/>
          <w:color w:val="000000" w:themeColor="text1"/>
          <w:sz w:val="24"/>
          <w:szCs w:val="24"/>
          <w14:textFill>
            <w14:solidFill>
              <w14:schemeClr w14:val="tx1"/>
            </w14:solidFill>
          </w14:textFill>
        </w:rPr>
        <w:t>（以下简称采购代理机构）在任何情况下均无义务和责任承担这些费用。</w:t>
      </w:r>
    </w:p>
    <w:p w14:paraId="1CD7A8A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4.2代理费用收取方式及标准：按以下第</w:t>
      </w:r>
      <w:r>
        <w:rPr>
          <w:rFonts w:eastAsia="方正仿宋_GBK"/>
          <w:color w:val="000000" w:themeColor="text1"/>
          <w:sz w:val="24"/>
          <w:szCs w:val="24"/>
          <w:u w:val="single"/>
          <w14:textFill>
            <w14:solidFill>
              <w14:schemeClr w14:val="tx1"/>
            </w14:solidFill>
          </w14:textFill>
        </w:rPr>
        <w:t xml:space="preserve"> 4.2.2 </w:t>
      </w:r>
      <w:r>
        <w:rPr>
          <w:rFonts w:eastAsia="方正仿宋_GBK"/>
          <w:color w:val="000000" w:themeColor="text1"/>
          <w:sz w:val="24"/>
          <w:szCs w:val="24"/>
          <w14:textFill>
            <w14:solidFill>
              <w14:schemeClr w14:val="tx1"/>
            </w14:solidFill>
          </w14:textFill>
        </w:rPr>
        <w:t xml:space="preserve"> 种方式执行</w:t>
      </w:r>
    </w:p>
    <w:p w14:paraId="5E253DF7">
      <w:pPr>
        <w:spacing w:line="480" w:lineRule="exact"/>
        <w:ind w:firstLine="480" w:firstLineChars="200"/>
        <w:rPr>
          <w:rFonts w:eastAsia="方正仿宋_GBK"/>
          <w:color w:val="000000" w:themeColor="text1"/>
          <w:sz w:val="24"/>
          <w:szCs w:val="24"/>
          <w:lang w:val="zh-CN"/>
          <w14:textFill>
            <w14:solidFill>
              <w14:schemeClr w14:val="tx1"/>
            </w14:solidFill>
          </w14:textFill>
        </w:rPr>
      </w:pPr>
      <w:r>
        <w:rPr>
          <w:rFonts w:eastAsia="方正仿宋_GBK"/>
          <w:color w:val="000000" w:themeColor="text1"/>
          <w:sz w:val="24"/>
          <w:szCs w:val="24"/>
          <w:lang w:val="zh-CN"/>
          <w14:textFill>
            <w14:solidFill>
              <w14:schemeClr w14:val="tx1"/>
            </w14:solidFill>
          </w14:textFill>
        </w:rPr>
        <w:t>4.2.1无需支付；</w:t>
      </w:r>
    </w:p>
    <w:p w14:paraId="50079189">
      <w:pPr>
        <w:pStyle w:val="263"/>
        <w:spacing w:line="480" w:lineRule="exact"/>
        <w:ind w:firstLine="480" w:firstLineChars="200"/>
        <w:jc w:val="both"/>
        <w:rPr>
          <w:rFonts w:ascii="Times New Roman" w:hAnsi="Times New Roman" w:eastAsia="方正仿宋_GBK" w:cs="Times New Roman"/>
          <w:color w:val="000000" w:themeColor="text1"/>
          <w:sz w:val="24"/>
          <w:szCs w:val="24"/>
          <w:u w:val="single"/>
          <w:lang w:val="en-US"/>
          <w14:textFill>
            <w14:solidFill>
              <w14:schemeClr w14:val="tx1"/>
            </w14:solidFill>
          </w14:textFill>
        </w:rPr>
      </w:pPr>
      <w:r>
        <w:rPr>
          <w:rFonts w:ascii="Times New Roman" w:hAnsi="Times New Roman" w:eastAsia="方正仿宋_GBK" w:cs="Times New Roman"/>
          <w:color w:val="000000" w:themeColor="text1"/>
          <w:sz w:val="24"/>
          <w:szCs w:val="24"/>
          <w:lang w:val="zh-CN"/>
          <w14:textFill>
            <w14:solidFill>
              <w14:schemeClr w14:val="tx1"/>
            </w14:solidFill>
          </w14:textFill>
        </w:rPr>
        <w:t>4.2.2采购人支付，具体方式及标准为：</w:t>
      </w:r>
      <w:r>
        <w:rPr>
          <w:rFonts w:ascii="Times New Roman" w:hAnsi="Times New Roman" w:eastAsia="方正仿宋_GBK" w:cs="Times New Roman"/>
          <w:color w:val="000000" w:themeColor="text1"/>
          <w:sz w:val="24"/>
          <w:szCs w:val="24"/>
          <w:u w:val="single"/>
          <w:lang w:val="zh-CN"/>
          <w14:textFill>
            <w14:solidFill>
              <w14:schemeClr w14:val="tx1"/>
            </w14:solidFill>
          </w14:textFill>
        </w:rPr>
        <w:t>按委托代理合同约定支付，支付方式可以通过转账或数字人民币等方式。</w:t>
      </w:r>
    </w:p>
    <w:p w14:paraId="4247D398">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5、</w:t>
      </w:r>
      <w:r>
        <w:rPr>
          <w:rFonts w:ascii="Times New Roman" w:hAnsi="Times New Roman" w:eastAsia="方正黑体_GBK" w:cs="Times New Roman"/>
          <w:b w:val="0"/>
          <w:bCs w:val="0"/>
          <w:color w:val="000000" w:themeColor="text1"/>
          <w:sz w:val="24"/>
          <w:szCs w:val="24"/>
          <w14:textFill>
            <w14:solidFill>
              <w14:schemeClr w14:val="tx1"/>
            </w14:solidFill>
          </w14:textFill>
        </w:rPr>
        <w:t>招标文件的约束力</w:t>
      </w:r>
    </w:p>
    <w:p w14:paraId="44576E0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5.1</w:t>
      </w:r>
      <w:r>
        <w:rPr>
          <w:rFonts w:eastAsia="方正仿宋_GBK"/>
          <w:color w:val="000000" w:themeColor="text1"/>
          <w:sz w:val="24"/>
          <w:szCs w:val="24"/>
          <w14:textFill>
            <w14:solidFill>
              <w14:schemeClr w14:val="tx1"/>
            </w14:solidFill>
          </w14:textFill>
        </w:rPr>
        <w:t xml:space="preserve"> 投标人一旦参加本项目采购活动，即被认为接受了本招标文件的规定和约束。</w:t>
      </w:r>
    </w:p>
    <w:p w14:paraId="19FD61FB">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bookmarkStart w:id="77" w:name="_Toc20823281"/>
      <w:bookmarkStart w:id="78" w:name="_Toc16938525"/>
      <w:bookmarkStart w:id="79" w:name="_Toc120614215"/>
      <w:bookmarkStart w:id="80" w:name="_Toc513029209"/>
      <w:r>
        <w:rPr>
          <w:rFonts w:ascii="方正黑体_GBK" w:hAnsi="方正黑体_GBK" w:eastAsia="方正黑体_GBK" w:cs="方正黑体_GBK"/>
          <w:b w:val="0"/>
          <w:bCs w:val="0"/>
          <w:color w:val="000000" w:themeColor="text1"/>
          <w:sz w:val="24"/>
          <w:szCs w:val="24"/>
          <w14:textFill>
            <w14:solidFill>
              <w14:schemeClr w14:val="tx1"/>
            </w14:solidFill>
          </w14:textFill>
        </w:rPr>
        <w:t>二、招标文件</w:t>
      </w:r>
      <w:bookmarkEnd w:id="77"/>
      <w:bookmarkEnd w:id="78"/>
      <w:bookmarkEnd w:id="79"/>
      <w:bookmarkEnd w:id="80"/>
    </w:p>
    <w:p w14:paraId="6FA38A10">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81" w:name="_Toc20823282"/>
      <w:bookmarkStart w:id="82" w:name="_Toc513029210"/>
      <w:bookmarkStart w:id="83" w:name="_Toc16938526"/>
      <w:r>
        <w:rPr>
          <w:rFonts w:ascii="Times New Roman" w:hAnsi="Times New Roman" w:eastAsia="方正黑体_GBK" w:cs="Times New Roman"/>
          <w:b w:val="0"/>
          <w:bCs w:val="0"/>
          <w:color w:val="000000" w:themeColor="text1"/>
          <w:sz w:val="24"/>
          <w:szCs w:val="24"/>
          <w14:textFill>
            <w14:solidFill>
              <w14:schemeClr w14:val="tx1"/>
            </w14:solidFill>
          </w14:textFill>
        </w:rPr>
        <w:t>6、招标文件构成</w:t>
      </w:r>
      <w:bookmarkEnd w:id="81"/>
      <w:bookmarkEnd w:id="82"/>
      <w:bookmarkEnd w:id="83"/>
    </w:p>
    <w:p w14:paraId="1BE2D67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6.1</w:t>
      </w:r>
      <w:r>
        <w:rPr>
          <w:rFonts w:eastAsia="方正仿宋_GBK"/>
          <w:color w:val="000000" w:themeColor="text1"/>
          <w:sz w:val="24"/>
          <w:szCs w:val="24"/>
          <w14:textFill>
            <w14:solidFill>
              <w14:schemeClr w14:val="tx1"/>
            </w14:solidFill>
          </w14:textFill>
        </w:rPr>
        <w:t xml:space="preserve"> 招标文件由以下部分组成：</w:t>
      </w:r>
    </w:p>
    <w:p w14:paraId="0010786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（1）投标邀请</w:t>
      </w:r>
    </w:p>
    <w:p w14:paraId="21D0389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（2）投标人须知</w:t>
      </w:r>
    </w:p>
    <w:p w14:paraId="16C4731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（3）合同文本</w:t>
      </w:r>
    </w:p>
    <w:p w14:paraId="7C6F24A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（4）采购需求</w:t>
      </w:r>
    </w:p>
    <w:p w14:paraId="687BECE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（5）评标方法与评标标准</w:t>
      </w:r>
    </w:p>
    <w:p w14:paraId="247A7C4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（6）投标文件格式</w:t>
      </w:r>
    </w:p>
    <w:p w14:paraId="79E9881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请仔细检查招标文件是否齐全，如有缺漏请立即与采购代理机构联系解决。</w:t>
      </w:r>
    </w:p>
    <w:p w14:paraId="35F248C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6.2</w:t>
      </w:r>
      <w:r>
        <w:rPr>
          <w:rFonts w:eastAsia="方正仿宋_GBK"/>
          <w:color w:val="000000" w:themeColor="text1"/>
          <w:sz w:val="24"/>
          <w:szCs w:val="24"/>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36E33FD">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84" w:name="_Toc16938527"/>
      <w:bookmarkStart w:id="85" w:name="_Toc513029211"/>
      <w:bookmarkStart w:id="86" w:name="_Toc462564070"/>
      <w:bookmarkStart w:id="87" w:name="_Toc20823283"/>
      <w:r>
        <w:rPr>
          <w:rFonts w:ascii="Times New Roman" w:hAnsi="Times New Roman" w:eastAsia="方正黑体_GBK" w:cs="Times New Roman"/>
          <w:b w:val="0"/>
          <w:bCs w:val="0"/>
          <w:color w:val="000000" w:themeColor="text1"/>
          <w:sz w:val="24"/>
          <w:szCs w:val="24"/>
          <w14:textFill>
            <w14:solidFill>
              <w14:schemeClr w14:val="tx1"/>
            </w14:solidFill>
          </w14:textFill>
        </w:rPr>
        <w:t>7、招标文件的澄清</w:t>
      </w:r>
      <w:bookmarkEnd w:id="84"/>
      <w:bookmarkEnd w:id="85"/>
      <w:bookmarkEnd w:id="86"/>
      <w:bookmarkEnd w:id="87"/>
    </w:p>
    <w:p w14:paraId="18CCAD8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7.1</w:t>
      </w:r>
      <w:r>
        <w:rPr>
          <w:rFonts w:eastAsia="方正仿宋_GBK"/>
          <w:color w:val="000000" w:themeColor="text1"/>
          <w:sz w:val="24"/>
          <w:szCs w:val="24"/>
          <w14:textFill>
            <w14:solidFill>
              <w14:schemeClr w14:val="tx1"/>
            </w14:solidFill>
          </w14:textFill>
        </w:rPr>
        <w:t xml:space="preserve"> 任何要求对招标文件进行澄清的投标人，应在投标</w:t>
      </w:r>
      <w:r>
        <w:rPr>
          <w:rFonts w:eastAsia="方正仿宋_GBK"/>
          <w:b/>
          <w:bCs/>
          <w:color w:val="000000" w:themeColor="text1"/>
          <w:sz w:val="24"/>
          <w:szCs w:val="24"/>
          <w14:textFill>
            <w14:solidFill>
              <w14:schemeClr w14:val="tx1"/>
            </w14:solidFill>
          </w14:textFill>
        </w:rPr>
        <w:t>截止期十日</w:t>
      </w:r>
      <w:r>
        <w:rPr>
          <w:rFonts w:eastAsia="方正仿宋_GBK"/>
          <w:color w:val="000000" w:themeColor="text1"/>
          <w:sz w:val="24"/>
          <w:szCs w:val="24"/>
          <w14:textFill>
            <w14:solidFill>
              <w14:schemeClr w14:val="tx1"/>
            </w14:solidFill>
          </w14:textFill>
        </w:rPr>
        <w:t>前按招标公告中的通讯地址，以书面形式通知采购代理机构。</w:t>
      </w:r>
    </w:p>
    <w:p w14:paraId="1713167A">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88" w:name="_Toc513029212"/>
      <w:bookmarkStart w:id="89" w:name="_Toc462564071"/>
      <w:bookmarkStart w:id="90" w:name="_Toc16938528"/>
      <w:bookmarkStart w:id="91" w:name="_Toc20823284"/>
      <w:r>
        <w:rPr>
          <w:rFonts w:ascii="Times New Roman" w:hAnsi="Times New Roman" w:eastAsia="方正黑体_GBK" w:cs="Times New Roman"/>
          <w:b w:val="0"/>
          <w:bCs w:val="0"/>
          <w:color w:val="000000" w:themeColor="text1"/>
          <w:sz w:val="24"/>
          <w:szCs w:val="24"/>
          <w14:textFill>
            <w14:solidFill>
              <w14:schemeClr w14:val="tx1"/>
            </w14:solidFill>
          </w14:textFill>
        </w:rPr>
        <w:t>8、招标文件的修改</w:t>
      </w:r>
      <w:bookmarkEnd w:id="88"/>
      <w:bookmarkEnd w:id="89"/>
      <w:bookmarkEnd w:id="90"/>
      <w:bookmarkEnd w:id="91"/>
    </w:p>
    <w:p w14:paraId="3DCC521C">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8.1采购代理机构可以以更正公告的形式，对已发出的招标文件进行必要的澄清或者修改。澄清或者修改的内容可能影响投标文件编制的，更正公告应在投标截止时间至少15日前发出；不足15日的，采购代理机构应当顺延提交投标文件的截止时间。</w:t>
      </w:r>
    </w:p>
    <w:p w14:paraId="67732DDA">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8.2 在投标截止时间前，采购代理机构可以对招标文件进行修改。</w:t>
      </w:r>
    </w:p>
    <w:p w14:paraId="200AE913">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8.3采购代理机构有权按照法定的要求推迟投标截止日期和开标日期。</w:t>
      </w:r>
    </w:p>
    <w:p w14:paraId="74EF75B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8.4招标文件的修改将在原公告媒体上发布更正公告，补充文件将作为招标文件的组成部分，并对投标人具有约束力，发布的更正公告视同为以书面形式通知所有获取招标文件的潜在投标人。</w:t>
      </w:r>
    </w:p>
    <w:p w14:paraId="70698516">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8.5投标人应及时登录“苏采云”系统获取澄清答疑文件（修改后招标文件），如因投标人原因未能及时下载澄清和修改后的招标文件，由此造成的相关责任，由投标人承担。 </w:t>
      </w:r>
    </w:p>
    <w:p w14:paraId="19CDFA89">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bookmarkStart w:id="92" w:name="_Toc513029213"/>
      <w:bookmarkStart w:id="93" w:name="_Toc462564072"/>
      <w:bookmarkStart w:id="94" w:name="_Toc120614216"/>
      <w:bookmarkStart w:id="95" w:name="_Toc16938529"/>
      <w:bookmarkStart w:id="96" w:name="_Toc20823285"/>
      <w:r>
        <w:rPr>
          <w:rFonts w:ascii="方正黑体_GBK" w:hAnsi="方正黑体_GBK" w:eastAsia="方正黑体_GBK" w:cs="方正黑体_GBK"/>
          <w:b w:val="0"/>
          <w:bCs w:val="0"/>
          <w:color w:val="000000" w:themeColor="text1"/>
          <w:sz w:val="24"/>
          <w:szCs w:val="24"/>
          <w14:textFill>
            <w14:solidFill>
              <w14:schemeClr w14:val="tx1"/>
            </w14:solidFill>
          </w14:textFill>
        </w:rPr>
        <w:t>三、投标文件的编制</w:t>
      </w:r>
      <w:bookmarkEnd w:id="92"/>
      <w:bookmarkEnd w:id="93"/>
      <w:bookmarkEnd w:id="94"/>
      <w:bookmarkEnd w:id="95"/>
      <w:bookmarkEnd w:id="96"/>
    </w:p>
    <w:p w14:paraId="29B7BAB0">
      <w:pPr>
        <w:pStyle w:val="191"/>
        <w:keepNext w:val="0"/>
        <w:keepLines w:val="0"/>
        <w:spacing w:before="0" w:after="0" w:line="480" w:lineRule="exact"/>
        <w:ind w:firstLine="480" w:firstLineChars="200"/>
        <w:rPr>
          <w:rFonts w:ascii="Times New Roman" w:hAnsi="Times New Roman" w:eastAsia="方正黑体_GBK" w:cs="Times New Roman"/>
          <w:bCs w:val="0"/>
          <w:color w:val="000000" w:themeColor="text1"/>
          <w:sz w:val="24"/>
          <w:szCs w:val="24"/>
          <w14:textFill>
            <w14:solidFill>
              <w14:schemeClr w14:val="tx1"/>
            </w14:solidFill>
          </w14:textFill>
        </w:rPr>
      </w:pPr>
      <w:bookmarkStart w:id="97" w:name="_Toc513029214"/>
      <w:bookmarkStart w:id="98" w:name="_Toc16938530"/>
      <w:bookmarkStart w:id="99" w:name="_Toc462564073"/>
      <w:bookmarkStart w:id="100" w:name="_Toc20823286"/>
      <w:r>
        <w:rPr>
          <w:rFonts w:ascii="Times New Roman" w:hAnsi="Times New Roman" w:eastAsia="方正黑体_GBK" w:cs="Times New Roman"/>
          <w:b w:val="0"/>
          <w:bCs w:val="0"/>
          <w:color w:val="000000" w:themeColor="text1"/>
          <w:sz w:val="24"/>
          <w:szCs w:val="24"/>
          <w14:textFill>
            <w14:solidFill>
              <w14:schemeClr w14:val="tx1"/>
            </w14:solidFill>
          </w14:textFill>
        </w:rPr>
        <w:t>9、投标文件的语言及度量衡单位</w:t>
      </w:r>
      <w:bookmarkEnd w:id="97"/>
      <w:bookmarkEnd w:id="98"/>
      <w:bookmarkEnd w:id="99"/>
      <w:bookmarkEnd w:id="100"/>
    </w:p>
    <w:p w14:paraId="1B21BF1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9.1</w:t>
      </w:r>
      <w:r>
        <w:rPr>
          <w:rFonts w:eastAsia="方正仿宋_GBK"/>
          <w:color w:val="000000" w:themeColor="text1"/>
          <w:sz w:val="24"/>
          <w:szCs w:val="24"/>
          <w14:textFill>
            <w14:solidFill>
              <w14:schemeClr w14:val="tx1"/>
            </w14:solidFill>
          </w14:textFill>
        </w:rPr>
        <w:t xml:space="preserve"> 投标人提交的投标文件以及投标人与采购代理机构就有关投标的所有来往通知、函件和文件均应使用</w:t>
      </w:r>
      <w:r>
        <w:rPr>
          <w:rFonts w:eastAsia="方正仿宋_GBK"/>
          <w:b/>
          <w:bCs/>
          <w:color w:val="000000" w:themeColor="text1"/>
          <w:sz w:val="24"/>
          <w:szCs w:val="24"/>
          <w14:textFill>
            <w14:solidFill>
              <w14:schemeClr w14:val="tx1"/>
            </w14:solidFill>
          </w14:textFill>
        </w:rPr>
        <w:t>简体中文</w:t>
      </w:r>
      <w:r>
        <w:rPr>
          <w:rFonts w:eastAsia="方正仿宋_GBK"/>
          <w:color w:val="000000" w:themeColor="text1"/>
          <w:sz w:val="24"/>
          <w:szCs w:val="24"/>
          <w14:textFill>
            <w14:solidFill>
              <w14:schemeClr w14:val="tx1"/>
            </w14:solidFill>
          </w14:textFill>
        </w:rPr>
        <w:t>。</w:t>
      </w:r>
    </w:p>
    <w:p w14:paraId="3246667A">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9.2</w:t>
      </w:r>
      <w:r>
        <w:rPr>
          <w:rFonts w:eastAsia="方正仿宋_GBK"/>
          <w:color w:val="000000" w:themeColor="text1"/>
          <w:sz w:val="24"/>
          <w:szCs w:val="24"/>
          <w14:textFill>
            <w14:solidFill>
              <w14:schemeClr w14:val="tx1"/>
            </w14:solidFill>
          </w14:textFill>
        </w:rPr>
        <w:t xml:space="preserve"> 除技术性能另有规定外，投标文件所使用的度量衡单位，均须采用国家法定计量单位。</w:t>
      </w:r>
    </w:p>
    <w:p w14:paraId="7FF99DAB">
      <w:pPr>
        <w:pStyle w:val="191"/>
        <w:keepNext w:val="0"/>
        <w:keepLines w:val="0"/>
        <w:spacing w:before="0" w:after="0" w:line="46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01" w:name="_Toc20823287"/>
      <w:bookmarkStart w:id="102" w:name="_Toc16938531"/>
      <w:bookmarkStart w:id="103" w:name="_Toc462564074"/>
      <w:bookmarkStart w:id="104" w:name="_Toc513029215"/>
      <w:r>
        <w:rPr>
          <w:rFonts w:ascii="Times New Roman" w:hAnsi="Times New Roman" w:eastAsia="方正黑体_GBK" w:cs="Times New Roman"/>
          <w:b w:val="0"/>
          <w:bCs w:val="0"/>
          <w:color w:val="000000" w:themeColor="text1"/>
          <w:sz w:val="24"/>
          <w:szCs w:val="24"/>
          <w14:textFill>
            <w14:solidFill>
              <w14:schemeClr w14:val="tx1"/>
            </w14:solidFill>
          </w14:textFill>
        </w:rPr>
        <w:t>10、投标文件构成</w:t>
      </w:r>
      <w:bookmarkEnd w:id="101"/>
      <w:bookmarkEnd w:id="102"/>
      <w:bookmarkEnd w:id="103"/>
      <w:bookmarkEnd w:id="104"/>
    </w:p>
    <w:p w14:paraId="254662CC">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10.1投标人应仔细阅读“招标文件”的所有内容，参考“招标文件”第六章“投标文件有关格式”编制“电子投标文件”，如有必要，可以增加附页，作为投标文件的组成部分。本次招标不接受纸质投标文件。投标人须保证所提供的全部资料的真实性、完整性及有效性，以使其投标对“招标文件”作出实质性响应。否则，可能被拒绝。</w:t>
      </w:r>
    </w:p>
    <w:p w14:paraId="68079BAF">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各投标人在编制投标文件时请按照招标文件第六</w:t>
      </w:r>
      <w:r>
        <w:rPr>
          <w:rFonts w:eastAsia="方正仿宋_GBK"/>
          <w:bCs/>
          <w:color w:val="000000" w:themeColor="text1"/>
          <w:sz w:val="24"/>
          <w:szCs w:val="24"/>
          <w14:textFill>
            <w14:solidFill>
              <w14:schemeClr w14:val="tx1"/>
            </w14:solidFill>
          </w14:textFill>
        </w:rPr>
        <w:t>章</w:t>
      </w:r>
      <w:r>
        <w:rPr>
          <w:rFonts w:eastAsia="方正仿宋_GBK"/>
          <w:bCs/>
          <w:color w:val="000000" w:themeColor="text1"/>
          <w:sz w:val="24"/>
          <w:szCs w:val="24"/>
          <w:lang w:val="zh-CN"/>
          <w14:textFill>
            <w14:solidFill>
              <w14:schemeClr w14:val="tx1"/>
            </w14:solidFill>
          </w14:textFill>
        </w:rPr>
        <w:t>规定的格式进行，混乱的编排导致投标文件被误读或评委会查找不到有效文件是投标人的风险。</w:t>
      </w:r>
    </w:p>
    <w:p w14:paraId="515F59DF">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10.2 投标人编写的投标文件应包括资格证明文件、符合性证明文件、投标分项报价表、响应及偏离表、其他证明文件、投标函、开标一览表等部分。</w:t>
      </w:r>
    </w:p>
    <w:p w14:paraId="4D97E085">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10.3投标文件须加盖电子签章之处，应按要求加盖投标人数字证书的电子签章。其他需要盖章但未明确要求电子签章的，投标人可按要求加盖公章后上传材料电子件或直接加盖电子签章。 </w:t>
      </w:r>
    </w:p>
    <w:p w14:paraId="47F16887">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10.4本项目通过“苏采云”系统进行电子招标投标，即投标人应当通过“苏采云”系统提交数据电文形式的响应文件（即电子投标）。响应文件使用政府采购客户端工具制作并通过“苏采云”系统提交，未进行响应文件提交并解密的投标人，按照无效响应处理</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因“苏采云”系统导致解密失败的除外</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w:t>
      </w:r>
    </w:p>
    <w:p w14:paraId="7CF96EE1">
      <w:pPr>
        <w:spacing w:line="460" w:lineRule="exact"/>
        <w:ind w:firstLine="480" w:firstLineChars="200"/>
        <w:rPr>
          <w:rFonts w:eastAsia="方正仿宋_GBK"/>
          <w:bCs/>
          <w:color w:val="000000" w:themeColor="text1"/>
          <w:sz w:val="24"/>
          <w:szCs w:val="24"/>
          <w:highlight w:val="green"/>
          <w14:textFill>
            <w14:solidFill>
              <w14:schemeClr w14:val="tx1"/>
            </w14:solidFill>
          </w14:textFill>
        </w:rPr>
      </w:pPr>
      <w:r>
        <w:rPr>
          <w:rFonts w:eastAsia="方正仿宋_GBK"/>
          <w:bCs/>
          <w:color w:val="000000" w:themeColor="text1"/>
          <w:sz w:val="24"/>
          <w:szCs w:val="24"/>
          <w14:textFill>
            <w14:solidFill>
              <w14:schemeClr w14:val="tx1"/>
            </w14:solidFill>
          </w14:textFill>
        </w:rPr>
        <w:t>10.5 如标书制作工具中格式和内容与“宿迁市政府采购网”发布的招标文件不一致，请以“宿迁市政府采购网”发布的招标文件为准。</w:t>
      </w:r>
    </w:p>
    <w:p w14:paraId="139F9E42">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10.6中标后按相关要求提供与电子投标文件一致的纸质打印投标文件2份。 </w:t>
      </w:r>
    </w:p>
    <w:p w14:paraId="3FF619C3">
      <w:pPr>
        <w:spacing w:line="460" w:lineRule="exact"/>
        <w:ind w:firstLine="480" w:firstLineChars="200"/>
        <w:rPr>
          <w:rFonts w:eastAsia="方正仿宋_GBK"/>
          <w:bCs/>
          <w:color w:val="000000" w:themeColor="text1"/>
          <w:sz w:val="24"/>
          <w:szCs w:val="24"/>
          <w14:textFill>
            <w14:solidFill>
              <w14:schemeClr w14:val="tx1"/>
            </w14:solidFill>
          </w14:textFill>
        </w:rPr>
      </w:pPr>
      <w:bookmarkStart w:id="105" w:name="EBc50e2bb832bb43068403b10c1cce6141"/>
      <w:r>
        <w:rPr>
          <w:rFonts w:eastAsia="方正仿宋_GBK"/>
          <w:bCs/>
          <w:color w:val="000000" w:themeColor="text1"/>
          <w:sz w:val="24"/>
          <w:szCs w:val="24"/>
          <w14:textFill>
            <w14:solidFill>
              <w14:schemeClr w14:val="tx1"/>
            </w14:solidFill>
          </w14:textFill>
        </w:rPr>
        <w:t>注：（1）投标文件构成资料为非中文时应提供中文译版；（2）</w:t>
      </w:r>
      <w:r>
        <w:rPr>
          <w:rFonts w:eastAsia="方正仿宋_GBK"/>
          <w:b/>
          <w:color w:val="000000" w:themeColor="text1"/>
          <w:sz w:val="24"/>
          <w:szCs w:val="24"/>
          <w14:textFill>
            <w14:solidFill>
              <w14:schemeClr w14:val="tx1"/>
            </w14:solidFill>
          </w14:textFill>
        </w:rPr>
        <w:t>招标文件要求提供证书证件等原件电子件的，投标人提供的电子件应是对证书证件等原件通过扫描、拍照等方式进行数字化的可被“苏采云”系统识别的数字文件，否则评委会可以视其未提供。</w:t>
      </w:r>
      <w:r>
        <w:rPr>
          <w:rFonts w:eastAsia="方正仿宋_GBK"/>
          <w:bCs/>
          <w:color w:val="000000" w:themeColor="text1"/>
          <w:sz w:val="24"/>
          <w:szCs w:val="24"/>
          <w14:textFill>
            <w14:solidFill>
              <w14:schemeClr w14:val="tx1"/>
            </w14:solidFill>
          </w14:textFill>
        </w:rPr>
        <w:t>（3）无论何种原因，即使投标人开标时携带了证书证明资料的原件，但电子投标文件中未包含相关资料电子件的，评委会可以视同其未提供。</w:t>
      </w:r>
      <w:bookmarkEnd w:id="105"/>
    </w:p>
    <w:p w14:paraId="4210DEC0">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06" w:name="_Hlt26670360"/>
      <w:bookmarkEnd w:id="106"/>
      <w:bookmarkStart w:id="107" w:name="_Hlt26954838"/>
      <w:bookmarkEnd w:id="107"/>
      <w:bookmarkStart w:id="108" w:name="_Hlt26668975"/>
      <w:bookmarkEnd w:id="108"/>
      <w:bookmarkStart w:id="109" w:name="_Toc14577357"/>
      <w:bookmarkStart w:id="110" w:name="_Toc49090509"/>
      <w:bookmarkStart w:id="111" w:name="_Toc513029219"/>
      <w:bookmarkStart w:id="112" w:name="_Toc513029216"/>
      <w:bookmarkStart w:id="113" w:name="_Toc49090507"/>
      <w:bookmarkStart w:id="114" w:name="_Toc14577354"/>
      <w:r>
        <w:rPr>
          <w:rFonts w:ascii="Times New Roman" w:hAnsi="Times New Roman" w:eastAsia="方正黑体_GBK" w:cs="Times New Roman"/>
          <w:b w:val="0"/>
          <w:bCs w:val="0"/>
          <w:color w:val="000000" w:themeColor="text1"/>
          <w:sz w:val="24"/>
          <w:szCs w:val="24"/>
          <w14:textFill>
            <w14:solidFill>
              <w14:schemeClr w14:val="tx1"/>
            </w14:solidFill>
          </w14:textFill>
        </w:rPr>
        <w:t>11、证明投标人及投标标的符合招标文件规定的文件</w:t>
      </w:r>
      <w:bookmarkEnd w:id="109"/>
      <w:bookmarkEnd w:id="110"/>
      <w:bookmarkEnd w:id="111"/>
    </w:p>
    <w:bookmarkEnd w:id="112"/>
    <w:bookmarkEnd w:id="113"/>
    <w:bookmarkEnd w:id="114"/>
    <w:p w14:paraId="3C43EF68">
      <w:pPr>
        <w:spacing w:line="490" w:lineRule="exact"/>
        <w:ind w:firstLine="480" w:firstLineChars="200"/>
        <w:rPr>
          <w:rFonts w:eastAsia="方正仿宋_GBK"/>
          <w:color w:val="000000" w:themeColor="text1"/>
          <w:sz w:val="24"/>
          <w:szCs w:val="24"/>
          <w14:textFill>
            <w14:solidFill>
              <w14:schemeClr w14:val="tx1"/>
            </w14:solidFill>
          </w14:textFill>
        </w:rPr>
      </w:pPr>
      <w:bookmarkStart w:id="115" w:name="_Toc14577355"/>
      <w:bookmarkStart w:id="116" w:name="_Toc49090508"/>
      <w:r>
        <w:rPr>
          <w:rFonts w:eastAsia="方正仿宋_GBK"/>
          <w:color w:val="000000" w:themeColor="text1"/>
          <w:sz w:val="24"/>
          <w:szCs w:val="24"/>
          <w14:textFill>
            <w14:solidFill>
              <w14:schemeClr w14:val="tx1"/>
            </w14:solidFill>
          </w14:textFill>
        </w:rPr>
        <w:t>11.1 投标人应按照法律、法规、规章和规范性文件以及招标文件要求提交证明文件，证明其及投标标的符合招标文件规定。</w:t>
      </w:r>
    </w:p>
    <w:p w14:paraId="479E9914">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11.2招标文件对证明文件无明确形式要求的，证明文件可以以文字资料、图纸和数据等形式提交。</w:t>
      </w:r>
    </w:p>
    <w:p w14:paraId="689B7A17">
      <w:pPr>
        <w:pStyle w:val="191"/>
        <w:keepNext w:val="0"/>
        <w:keepLines w:val="0"/>
        <w:spacing w:before="0" w:after="0" w:line="49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b w:val="0"/>
          <w:bCs w:val="0"/>
          <w:color w:val="000000" w:themeColor="text1"/>
          <w:sz w:val="24"/>
          <w:szCs w:val="24"/>
          <w14:textFill>
            <w14:solidFill>
              <w14:schemeClr w14:val="tx1"/>
            </w14:solidFill>
          </w14:textFill>
        </w:rPr>
        <w:t>12、投标分项报价</w:t>
      </w:r>
      <w:bookmarkEnd w:id="115"/>
      <w:bookmarkStart w:id="117" w:name="_Hlt26670373"/>
      <w:bookmarkEnd w:id="117"/>
      <w:r>
        <w:rPr>
          <w:rFonts w:ascii="Times New Roman" w:hAnsi="Times New Roman" w:eastAsia="方正黑体_GBK" w:cs="Times New Roman"/>
          <w:b w:val="0"/>
          <w:bCs w:val="0"/>
          <w:color w:val="000000" w:themeColor="text1"/>
          <w:sz w:val="24"/>
          <w:szCs w:val="24"/>
          <w14:textFill>
            <w14:solidFill>
              <w14:schemeClr w14:val="tx1"/>
            </w14:solidFill>
          </w14:textFill>
        </w:rPr>
        <w:t>表</w:t>
      </w:r>
      <w:bookmarkEnd w:id="116"/>
    </w:p>
    <w:p w14:paraId="2EBD420A">
      <w:pPr>
        <w:spacing w:line="49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12.1</w:t>
      </w:r>
      <w:r>
        <w:rPr>
          <w:rFonts w:eastAsia="方正仿宋_GBK"/>
          <w:color w:val="000000" w:themeColor="text1"/>
          <w:sz w:val="24"/>
          <w:szCs w:val="24"/>
          <w14:textFill>
            <w14:solidFill>
              <w14:schemeClr w14:val="tx1"/>
            </w14:solidFill>
          </w14:textFill>
        </w:rPr>
        <w:t xml:space="preserve"> 投</w:t>
      </w:r>
      <w:bookmarkStart w:id="118" w:name="_Hlt26954840"/>
      <w:bookmarkEnd w:id="118"/>
      <w:r>
        <w:rPr>
          <w:rFonts w:eastAsia="方正仿宋_GBK"/>
          <w:color w:val="000000" w:themeColor="text1"/>
          <w:sz w:val="24"/>
          <w:szCs w:val="24"/>
          <w14:textFill>
            <w14:solidFill>
              <w14:schemeClr w14:val="tx1"/>
            </w14:solidFill>
          </w14:textFill>
        </w:rPr>
        <w:t>标人应按照招标文件规定格式填报投标分项报价表</w:t>
      </w:r>
      <w:bookmarkStart w:id="119" w:name="_Hlt26670399"/>
      <w:bookmarkEnd w:id="119"/>
      <w:r>
        <w:rPr>
          <w:rFonts w:eastAsia="方正仿宋_GBK"/>
          <w:color w:val="000000" w:themeColor="text1"/>
          <w:sz w:val="24"/>
          <w:szCs w:val="24"/>
          <w14:textFill>
            <w14:solidFill>
              <w14:schemeClr w14:val="tx1"/>
            </w14:solidFill>
          </w14:textFill>
        </w:rPr>
        <w:t>。</w:t>
      </w:r>
    </w:p>
    <w:p w14:paraId="33887FAE">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12.2</w:t>
      </w:r>
      <w:r>
        <w:rPr>
          <w:rFonts w:eastAsia="方正仿宋_GBK"/>
          <w:bCs/>
          <w:color w:val="000000" w:themeColor="text1"/>
          <w:sz w:val="24"/>
          <w:szCs w:val="24"/>
          <w14:textFill>
            <w14:solidFill>
              <w14:schemeClr w14:val="tx1"/>
            </w14:solidFill>
          </w14:textFill>
        </w:rPr>
        <w:t>投标货币。投标文件中的单价和总价无特殊规定的采用人民币报价，以元为单位标注。</w:t>
      </w:r>
      <w:r>
        <w:rPr>
          <w:rFonts w:eastAsia="方正仿宋_GBK"/>
          <w:color w:val="000000" w:themeColor="text1"/>
          <w:sz w:val="24"/>
          <w:szCs w:val="24"/>
          <w14:textFill>
            <w14:solidFill>
              <w14:schemeClr w14:val="tx1"/>
            </w14:solidFill>
          </w14:textFill>
        </w:rPr>
        <w:t>招标文件中另有规定的按规定执行。</w:t>
      </w:r>
    </w:p>
    <w:p w14:paraId="25783D23">
      <w:pPr>
        <w:spacing w:line="490" w:lineRule="exact"/>
        <w:ind w:firstLine="480" w:firstLineChars="200"/>
        <w:rPr>
          <w:rFonts w:eastAsia="方正仿宋_GBK"/>
          <w:bCs/>
          <w:color w:val="FF0000"/>
          <w:sz w:val="24"/>
          <w:szCs w:val="24"/>
        </w:rPr>
      </w:pPr>
      <w:r>
        <w:rPr>
          <w:rFonts w:eastAsia="方正仿宋_GBK"/>
          <w:bCs/>
          <w:color w:val="000000" w:themeColor="text1"/>
          <w:sz w:val="24"/>
          <w:szCs w:val="24"/>
          <w14:textFill>
            <w14:solidFill>
              <w14:schemeClr w14:val="tx1"/>
            </w14:solidFill>
          </w14:textFill>
        </w:rPr>
        <w:t>12.3本项目不接受备选的投标方案或有选择的报价，只允许有一个报价。投标报价内容</w:t>
      </w:r>
      <w:r>
        <w:rPr>
          <w:rFonts w:hint="eastAsia" w:eastAsia="方正仿宋_GBK"/>
          <w:bCs/>
          <w:color w:val="000000" w:themeColor="text1"/>
          <w:sz w:val="24"/>
          <w:szCs w:val="24"/>
          <w14:textFill>
            <w14:solidFill>
              <w14:schemeClr w14:val="tx1"/>
            </w14:solidFill>
          </w14:textFill>
        </w:rPr>
        <w:t>包括但不限于：</w:t>
      </w:r>
      <w:r>
        <w:rPr>
          <w:rFonts w:eastAsia="方正仿宋_GBK"/>
          <w:b/>
          <w:bCs w:val="0"/>
          <w:color w:val="000000" w:themeColor="text1"/>
          <w:sz w:val="24"/>
          <w:szCs w:val="24"/>
          <w14:textFill>
            <w14:solidFill>
              <w14:schemeClr w14:val="tx1"/>
            </w14:solidFill>
          </w14:textFill>
        </w:rPr>
        <w:t>设备</w:t>
      </w:r>
      <w:r>
        <w:rPr>
          <w:rFonts w:hint="eastAsia" w:eastAsia="方正仿宋_GBK"/>
          <w:b/>
          <w:bCs w:val="0"/>
          <w:color w:val="000000" w:themeColor="text1"/>
          <w:sz w:val="24"/>
          <w:szCs w:val="24"/>
          <w14:textFill>
            <w14:solidFill>
              <w14:schemeClr w14:val="tx1"/>
            </w14:solidFill>
          </w14:textFill>
        </w:rPr>
        <w:t>采购安装、调试</w:t>
      </w:r>
      <w:r>
        <w:rPr>
          <w:rFonts w:eastAsia="方正仿宋_GBK"/>
          <w:b/>
          <w:bCs w:val="0"/>
          <w:color w:val="000000" w:themeColor="text1"/>
          <w:sz w:val="24"/>
          <w:szCs w:val="24"/>
          <w14:textFill>
            <w14:solidFill>
              <w14:schemeClr w14:val="tx1"/>
            </w14:solidFill>
          </w14:textFill>
        </w:rPr>
        <w:t>及相关配套费、数据对接费、</w:t>
      </w:r>
      <w:r>
        <w:rPr>
          <w:rFonts w:hint="eastAsia" w:eastAsia="方正仿宋_GBK"/>
          <w:b/>
          <w:bCs w:val="0"/>
          <w:color w:val="000000" w:themeColor="text1"/>
          <w:sz w:val="24"/>
          <w:szCs w:val="24"/>
          <w14:textFill>
            <w14:solidFill>
              <w14:schemeClr w14:val="tx1"/>
            </w14:solidFill>
          </w14:textFill>
        </w:rPr>
        <w:t>入网费、电费、</w:t>
      </w:r>
      <w:r>
        <w:rPr>
          <w:rFonts w:eastAsia="方正仿宋_GBK"/>
          <w:b/>
          <w:bCs w:val="0"/>
          <w:color w:val="000000" w:themeColor="text1"/>
          <w:sz w:val="24"/>
          <w:szCs w:val="24"/>
          <w14:textFill>
            <w14:solidFill>
              <w14:schemeClr w14:val="tx1"/>
            </w14:solidFill>
          </w14:textFill>
        </w:rPr>
        <w:t>人工费、服务费、税金、满足实现采购需求功能和效果以及履约过程中涉及到的其他一切费用。</w:t>
      </w:r>
    </w:p>
    <w:p w14:paraId="0921FC9D">
      <w:pPr>
        <w:pStyle w:val="191"/>
        <w:keepNext w:val="0"/>
        <w:keepLines w:val="0"/>
        <w:spacing w:before="0" w:after="0" w:line="49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20" w:name="_Hlt26954842"/>
      <w:bookmarkEnd w:id="120"/>
      <w:bookmarkStart w:id="121" w:name="_Hlt26670486"/>
      <w:bookmarkEnd w:id="121"/>
      <w:bookmarkStart w:id="122" w:name="_Hlt26670403"/>
      <w:bookmarkEnd w:id="122"/>
      <w:bookmarkStart w:id="123" w:name="_Hlt26670425"/>
      <w:bookmarkEnd w:id="123"/>
      <w:bookmarkStart w:id="124" w:name="_Hlt26954731"/>
      <w:bookmarkEnd w:id="124"/>
      <w:bookmarkStart w:id="125" w:name="_Hlt26670482"/>
      <w:bookmarkEnd w:id="125"/>
      <w:bookmarkStart w:id="126" w:name="_Hlt26954848"/>
      <w:bookmarkEnd w:id="126"/>
      <w:bookmarkStart w:id="127" w:name="_Hlt26954846"/>
      <w:bookmarkEnd w:id="127"/>
      <w:bookmarkStart w:id="128" w:name="_Hlt26954844"/>
      <w:bookmarkEnd w:id="128"/>
      <w:bookmarkStart w:id="129" w:name="_Hlt26668983"/>
      <w:bookmarkEnd w:id="129"/>
      <w:bookmarkStart w:id="130" w:name="_Toc49090510"/>
      <w:bookmarkStart w:id="131" w:name="_Toc14577359"/>
      <w:r>
        <w:rPr>
          <w:rFonts w:ascii="Times New Roman" w:hAnsi="Times New Roman" w:eastAsia="方正黑体_GBK" w:cs="Times New Roman"/>
          <w:b w:val="0"/>
          <w:bCs w:val="0"/>
          <w:color w:val="000000" w:themeColor="text1"/>
          <w:sz w:val="24"/>
          <w:szCs w:val="24"/>
          <w14:textFill>
            <w14:solidFill>
              <w14:schemeClr w14:val="tx1"/>
            </w14:solidFill>
          </w14:textFill>
        </w:rPr>
        <w:t>13、技术要求响应及偏离表、商务要求响应及偏离表</w:t>
      </w:r>
    </w:p>
    <w:p w14:paraId="1016A353">
      <w:pPr>
        <w:spacing w:line="490" w:lineRule="exact"/>
        <w:ind w:firstLine="480" w:firstLineChars="200"/>
        <w:rPr>
          <w:rFonts w:eastAsia="方正仿宋_GBK"/>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13.1</w:t>
      </w:r>
      <w:r>
        <w:rPr>
          <w:rFonts w:eastAsia="方正仿宋_GBK"/>
          <w:color w:val="000000" w:themeColor="text1"/>
          <w:sz w:val="24"/>
          <w:szCs w:val="24"/>
          <w:lang w:val="zh-CN"/>
          <w14:textFill>
            <w14:solidFill>
              <w14:schemeClr w14:val="tx1"/>
            </w14:solidFill>
          </w14:textFill>
        </w:rPr>
        <w:t xml:space="preserve"> 投标人需对招标文件中的技术要求与商务要求逐项作出响应或偏离，并说明原因。</w:t>
      </w:r>
    </w:p>
    <w:p w14:paraId="22C2A663">
      <w:pPr>
        <w:tabs>
          <w:tab w:val="left" w:pos="1035"/>
        </w:tabs>
        <w:spacing w:line="490" w:lineRule="exact"/>
        <w:ind w:firstLine="480" w:firstLineChars="200"/>
        <w:rPr>
          <w:rFonts w:eastAsia="方正仿宋_GBK"/>
          <w:color w:val="000000" w:themeColor="text1"/>
          <w:sz w:val="24"/>
          <w:szCs w:val="24"/>
          <w:lang w:val="zh-CN"/>
          <w14:textFill>
            <w14:solidFill>
              <w14:schemeClr w14:val="tx1"/>
            </w14:solidFill>
          </w14:textFill>
        </w:rPr>
      </w:pPr>
      <w:r>
        <w:rPr>
          <w:rFonts w:eastAsia="方正仿宋_GBK"/>
          <w:color w:val="000000" w:themeColor="text1"/>
          <w:sz w:val="24"/>
          <w:szCs w:val="24"/>
          <w:lang w:val="zh-CN"/>
          <w14:textFill>
            <w14:solidFill>
              <w14:schemeClr w14:val="tx1"/>
            </w14:solidFill>
          </w14:textFill>
        </w:rPr>
        <w:t>13.2 投标人可在投标文件中提供认为需要的其他技术文件或说明。</w:t>
      </w:r>
    </w:p>
    <w:p w14:paraId="76F11417">
      <w:pPr>
        <w:spacing w:line="490" w:lineRule="exact"/>
        <w:ind w:firstLine="480" w:firstLineChars="200"/>
        <w:outlineLvl w:val="3"/>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14、服务承诺、培训计划、人员安排及其他</w:t>
      </w:r>
    </w:p>
    <w:p w14:paraId="0345982C">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14.1 </w:t>
      </w:r>
      <w:r>
        <w:rPr>
          <w:rFonts w:eastAsia="方正仿宋_GBK"/>
          <w:color w:val="000000" w:themeColor="text1"/>
          <w:sz w:val="24"/>
          <w:szCs w:val="24"/>
          <w14:textFill>
            <w14:solidFill>
              <w14:schemeClr w14:val="tx1"/>
            </w14:solidFill>
          </w14:textFill>
        </w:rPr>
        <w:t>投标人需根据招标文件要求提供有关售后服务的管理制度，售后服务机构的分布情况，售后服务人员的数量、素质、技术水平及售后服务的反应能力等。</w:t>
      </w:r>
    </w:p>
    <w:p w14:paraId="7C9485EA">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14.2 投标人需根据招标文件要求提供培训计划。</w:t>
      </w:r>
    </w:p>
    <w:p w14:paraId="4E7A1AC6">
      <w:pPr>
        <w:spacing w:line="490" w:lineRule="exact"/>
        <w:ind w:firstLine="480" w:firstLineChars="200"/>
        <w:rPr>
          <w:rFonts w:eastAsia="方正仿宋_GBK"/>
          <w:b/>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14.3 投标人需根据招标文件要求提供</w:t>
      </w:r>
      <w:r>
        <w:rPr>
          <w:rFonts w:eastAsia="方正仿宋_GBK"/>
          <w:color w:val="000000" w:themeColor="text1"/>
          <w:sz w:val="24"/>
          <w:szCs w:val="24"/>
          <w:lang w:val="zh-CN"/>
          <w14:textFill>
            <w14:solidFill>
              <w14:schemeClr w14:val="tx1"/>
            </w14:solidFill>
          </w14:textFill>
        </w:rPr>
        <w:t>所投标的的主要组成部分、功能设计、实现思路及关键技术等。</w:t>
      </w:r>
    </w:p>
    <w:p w14:paraId="4889F1AB">
      <w:pPr>
        <w:pStyle w:val="191"/>
        <w:keepNext w:val="0"/>
        <w:keepLines w:val="0"/>
        <w:spacing w:before="0" w:after="0" w:line="49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b w:val="0"/>
          <w:bCs w:val="0"/>
          <w:color w:val="000000" w:themeColor="text1"/>
          <w:sz w:val="24"/>
          <w:szCs w:val="24"/>
          <w14:textFill>
            <w14:solidFill>
              <w14:schemeClr w14:val="tx1"/>
            </w14:solidFill>
          </w14:textFill>
        </w:rPr>
        <w:t>15、投标声明及承诺函和开标一览表</w:t>
      </w:r>
    </w:p>
    <w:p w14:paraId="21D1DAF4">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15.1</w:t>
      </w:r>
      <w:r>
        <w:rPr>
          <w:rFonts w:eastAsia="方正仿宋_GBK"/>
          <w:color w:val="000000" w:themeColor="text1"/>
          <w:sz w:val="24"/>
          <w:szCs w:val="24"/>
          <w14:textFill>
            <w14:solidFill>
              <w14:schemeClr w14:val="tx1"/>
            </w14:solidFill>
          </w14:textFill>
        </w:rPr>
        <w:t xml:space="preserve"> 投标人应按照招标文件中提供的格式完整、正确填写投标声明及承诺函、开标一览表。</w:t>
      </w:r>
    </w:p>
    <w:p w14:paraId="4E668E25">
      <w:pPr>
        <w:spacing w:line="49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15.2</w:t>
      </w:r>
      <w:r>
        <w:rPr>
          <w:rFonts w:eastAsia="方正仿宋_GBK"/>
          <w:color w:val="000000" w:themeColor="text1"/>
          <w:sz w:val="24"/>
          <w:szCs w:val="24"/>
          <w14:textFill>
            <w14:solidFill>
              <w14:schemeClr w14:val="tx1"/>
            </w14:solidFill>
          </w14:textFill>
        </w:rPr>
        <w:t xml:space="preserve"> 对于采用货币报价的项目，</w:t>
      </w:r>
      <w:r>
        <w:rPr>
          <w:rFonts w:eastAsia="方正仿宋_GBK"/>
          <w:bCs/>
          <w:color w:val="000000" w:themeColor="text1"/>
          <w:sz w:val="24"/>
          <w:szCs w:val="24"/>
          <w14:textFill>
            <w14:solidFill>
              <w14:schemeClr w14:val="tx1"/>
            </w14:solidFill>
          </w14:textFill>
        </w:rPr>
        <w:t>开标一览表中的投标总报价应与投标分项报价表中的投标总报价一致，如不一致，</w:t>
      </w:r>
      <w:r>
        <w:rPr>
          <w:rFonts w:eastAsia="方正仿宋_GBK"/>
          <w:color w:val="000000" w:themeColor="text1"/>
          <w:sz w:val="24"/>
          <w:szCs w:val="24"/>
          <w14:textFill>
            <w14:solidFill>
              <w14:schemeClr w14:val="tx1"/>
            </w14:solidFill>
          </w14:textFill>
        </w:rPr>
        <w:t>不作为无效投标处理</w:t>
      </w:r>
      <w:r>
        <w:rPr>
          <w:rFonts w:eastAsia="方正仿宋_GBK"/>
          <w:bCs/>
          <w:color w:val="000000" w:themeColor="text1"/>
          <w:sz w:val="24"/>
          <w:szCs w:val="24"/>
          <w14:textFill>
            <w14:solidFill>
              <w14:schemeClr w14:val="tx1"/>
            </w14:solidFill>
          </w14:textFill>
        </w:rPr>
        <w:t>，但评标时按开标一览表中价格为准</w:t>
      </w:r>
      <w:r>
        <w:rPr>
          <w:rFonts w:eastAsia="方正仿宋_GBK"/>
          <w:b/>
          <w:bCs/>
          <w:color w:val="000000" w:themeColor="text1"/>
          <w:sz w:val="24"/>
          <w:szCs w:val="24"/>
          <w14:textFill>
            <w14:solidFill>
              <w14:schemeClr w14:val="tx1"/>
            </w14:solidFill>
          </w14:textFill>
        </w:rPr>
        <w:t>。</w:t>
      </w:r>
    </w:p>
    <w:bookmarkEnd w:id="130"/>
    <w:bookmarkEnd w:id="131"/>
    <w:p w14:paraId="7C101D42">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32" w:name="_Hlt26954734"/>
      <w:bookmarkEnd w:id="132"/>
      <w:bookmarkStart w:id="133" w:name="_Hlt26670489"/>
      <w:bookmarkEnd w:id="133"/>
      <w:bookmarkStart w:id="134" w:name="_Hlt26954850"/>
      <w:bookmarkEnd w:id="134"/>
      <w:bookmarkStart w:id="135" w:name="_Toc49090511"/>
      <w:bookmarkStart w:id="136" w:name="_Toc14577360"/>
      <w:r>
        <w:rPr>
          <w:rFonts w:ascii="Times New Roman" w:hAnsi="Times New Roman" w:eastAsia="方正黑体_GBK" w:cs="Times New Roman"/>
          <w:b w:val="0"/>
          <w:bCs w:val="0"/>
          <w:color w:val="000000" w:themeColor="text1"/>
          <w:sz w:val="24"/>
          <w:szCs w:val="24"/>
          <w14:textFill>
            <w14:solidFill>
              <w14:schemeClr w14:val="tx1"/>
            </w14:solidFill>
          </w14:textFill>
        </w:rPr>
        <w:t>16、投标有效期</w:t>
      </w:r>
      <w:bookmarkEnd w:id="135"/>
      <w:bookmarkEnd w:id="136"/>
    </w:p>
    <w:p w14:paraId="2DAEC259">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16.1</w:t>
      </w:r>
      <w:r>
        <w:rPr>
          <w:rFonts w:eastAsia="方正仿宋_GBK"/>
          <w:bCs/>
          <w:color w:val="000000" w:themeColor="text1"/>
          <w:sz w:val="24"/>
          <w:szCs w:val="24"/>
          <w14:textFill>
            <w14:solidFill>
              <w14:schemeClr w14:val="tx1"/>
            </w14:solidFill>
          </w14:textFill>
        </w:rPr>
        <w:t xml:space="preserve"> 投标有效期为开标之日后</w:t>
      </w:r>
      <w:r>
        <w:rPr>
          <w:rFonts w:eastAsia="方正仿宋_GBK"/>
          <w:b/>
          <w:color w:val="000000" w:themeColor="text1"/>
          <w:sz w:val="24"/>
          <w:szCs w:val="24"/>
          <w:u w:val="single"/>
          <w14:textFill>
            <w14:solidFill>
              <w14:schemeClr w14:val="tx1"/>
            </w14:solidFill>
          </w14:textFill>
        </w:rPr>
        <w:t>六十（60）天</w:t>
      </w:r>
      <w:r>
        <w:rPr>
          <w:rFonts w:eastAsia="方正仿宋_GBK"/>
          <w:bCs/>
          <w:color w:val="000000" w:themeColor="text1"/>
          <w:sz w:val="24"/>
          <w:szCs w:val="24"/>
          <w14:textFill>
            <w14:solidFill>
              <w14:schemeClr w14:val="tx1"/>
            </w14:solidFill>
          </w14:textFill>
        </w:rPr>
        <w:t>。投标有效期比规定短的将被视为未实质性响应招标文件而予以拒绝。</w:t>
      </w:r>
    </w:p>
    <w:p w14:paraId="2E7B4A56">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b w:val="0"/>
          <w:bCs w:val="0"/>
          <w:color w:val="000000" w:themeColor="text1"/>
          <w:sz w:val="24"/>
          <w:szCs w:val="24"/>
          <w14:textFill>
            <w14:solidFill>
              <w14:schemeClr w14:val="tx1"/>
            </w14:solidFill>
          </w14:textFill>
        </w:rPr>
        <w:t>17、投标有效期的延长</w:t>
      </w:r>
    </w:p>
    <w:p w14:paraId="44912C38">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17.1</w:t>
      </w:r>
      <w:r>
        <w:rPr>
          <w:rFonts w:eastAsia="方正仿宋_GBK"/>
          <w:bCs/>
          <w:color w:val="000000" w:themeColor="text1"/>
          <w:sz w:val="24"/>
          <w:szCs w:val="24"/>
          <w14:textFill>
            <w14:solidFill>
              <w14:schemeClr w14:val="tx1"/>
            </w14:solidFill>
          </w14:textFill>
        </w:rPr>
        <w:t xml:space="preserve"> 在特殊情况下，采购代理机构于原投标有效期满之前，可向投标人提出延长投标有效期的要求。这种要求与答复均应采用书面形式。投标人可以拒绝采购代理机构的这一要求而放弃投标</w:t>
      </w:r>
      <w:r>
        <w:rPr>
          <w:rFonts w:eastAsia="方正仿宋_GBK"/>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同意延长投标有效期的投标人既不能要求也不允许修改其投标文件</w:t>
      </w:r>
      <w:r>
        <w:rPr>
          <w:rFonts w:eastAsia="方正仿宋_GBK"/>
          <w:color w:val="000000" w:themeColor="text1"/>
          <w:sz w:val="24"/>
          <w:szCs w:val="24"/>
          <w14:textFill>
            <w14:solidFill>
              <w14:schemeClr w14:val="tx1"/>
            </w14:solidFill>
          </w14:textFill>
        </w:rPr>
        <w:t>，同时受投标有效期约束的所有权利与义务均延长至新的有效期</w:t>
      </w:r>
      <w:r>
        <w:rPr>
          <w:rFonts w:eastAsia="方正仿宋_GBK"/>
          <w:bCs/>
          <w:color w:val="000000" w:themeColor="text1"/>
          <w:sz w:val="24"/>
          <w:szCs w:val="24"/>
          <w14:textFill>
            <w14:solidFill>
              <w14:schemeClr w14:val="tx1"/>
            </w14:solidFill>
          </w14:textFill>
        </w:rPr>
        <w:t>。</w:t>
      </w:r>
    </w:p>
    <w:p w14:paraId="16950B5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17.2中标人的投标文件作为项目合同的附件，其有效期至中标人全部合同义务履行完毕为止。 </w:t>
      </w:r>
    </w:p>
    <w:p w14:paraId="6711CF20">
      <w:pPr>
        <w:pStyle w:val="189"/>
        <w:keepNext w:val="0"/>
        <w:keepLines w:val="0"/>
        <w:spacing w:before="0" w:after="0" w:line="480" w:lineRule="exact"/>
        <w:ind w:firstLine="480" w:firstLineChars="200"/>
        <w:rPr>
          <w:rFonts w:eastAsia="方正仿宋_GBK"/>
          <w:color w:val="000000" w:themeColor="text1"/>
          <w:sz w:val="24"/>
          <w:szCs w:val="24"/>
          <w14:textFill>
            <w14:solidFill>
              <w14:schemeClr w14:val="tx1"/>
            </w14:solidFill>
          </w14:textFill>
        </w:rPr>
      </w:pPr>
      <w:bookmarkStart w:id="137" w:name="_Hlt26954852"/>
      <w:bookmarkEnd w:id="137"/>
      <w:bookmarkStart w:id="138" w:name="_Hlt26954739"/>
      <w:bookmarkEnd w:id="138"/>
      <w:bookmarkStart w:id="139" w:name="_Toc120614217"/>
      <w:bookmarkStart w:id="140" w:name="_Toc20823296"/>
      <w:bookmarkStart w:id="141" w:name="_Toc513029224"/>
      <w:bookmarkStart w:id="142" w:name="_Toc16938540"/>
      <w:r>
        <w:rPr>
          <w:rFonts w:eastAsia="方正仿宋_GBK"/>
          <w:color w:val="000000" w:themeColor="text1"/>
          <w:sz w:val="24"/>
          <w:szCs w:val="24"/>
          <w14:textFill>
            <w14:solidFill>
              <w14:schemeClr w14:val="tx1"/>
            </w14:solidFill>
          </w14:textFill>
        </w:rPr>
        <w:t>四、投标文件的递交</w:t>
      </w:r>
      <w:bookmarkEnd w:id="139"/>
      <w:bookmarkEnd w:id="140"/>
      <w:bookmarkEnd w:id="141"/>
      <w:bookmarkEnd w:id="142"/>
    </w:p>
    <w:p w14:paraId="09057917">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43" w:name="_Toc462564084"/>
      <w:bookmarkStart w:id="144" w:name="_Toc513029225"/>
      <w:bookmarkStart w:id="145" w:name="_Toc20823297"/>
      <w:bookmarkStart w:id="146" w:name="_Toc16938541"/>
      <w:r>
        <w:rPr>
          <w:rFonts w:ascii="Times New Roman" w:hAnsi="Times New Roman" w:eastAsia="方正黑体_GBK" w:cs="Times New Roman"/>
          <w:b w:val="0"/>
          <w:bCs w:val="0"/>
          <w:color w:val="000000" w:themeColor="text1"/>
          <w:sz w:val="24"/>
          <w:szCs w:val="24"/>
          <w14:textFill>
            <w14:solidFill>
              <w14:schemeClr w14:val="tx1"/>
            </w14:solidFill>
          </w14:textFill>
        </w:rPr>
        <w:t>18、投标文件</w:t>
      </w:r>
      <w:bookmarkEnd w:id="143"/>
      <w:bookmarkEnd w:id="144"/>
      <w:bookmarkEnd w:id="145"/>
      <w:bookmarkEnd w:id="146"/>
      <w:r>
        <w:rPr>
          <w:rFonts w:ascii="Times New Roman" w:hAnsi="Times New Roman" w:eastAsia="方正黑体_GBK" w:cs="Times New Roman"/>
          <w:b w:val="0"/>
          <w:bCs w:val="0"/>
          <w:color w:val="000000" w:themeColor="text1"/>
          <w:sz w:val="24"/>
          <w:szCs w:val="24"/>
          <w14:textFill>
            <w14:solidFill>
              <w14:schemeClr w14:val="tx1"/>
            </w14:solidFill>
          </w14:textFill>
        </w:rPr>
        <w:t>的递交</w:t>
      </w:r>
    </w:p>
    <w:p w14:paraId="72C3BE5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18.1投标人应当按照《操作手册》规定，在投标截止时间前制作并上传电子投标文件。</w:t>
      </w:r>
      <w:bookmarkStart w:id="147" w:name="_Toc20823298"/>
      <w:bookmarkStart w:id="148" w:name="_Toc16938542"/>
      <w:bookmarkStart w:id="149" w:name="_Toc513029226"/>
    </w:p>
    <w:p w14:paraId="43A94F0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18.2投标人通过“苏采云”系统不见面开标大厅在线参与开标活动。（具体操作详见《“苏采云”系统投标人操作手册》，网址链接http://www.ccgp-jiangsu.gov.cn//webfile/jiangsu/202311/1699268553318052447.pdf）</w:t>
      </w:r>
    </w:p>
    <w:p w14:paraId="6AE2F8A8">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r>
        <w:rPr>
          <w:rFonts w:ascii="Times New Roman" w:hAnsi="Times New Roman" w:eastAsia="方正黑体_GBK" w:cs="Times New Roman"/>
          <w:b w:val="0"/>
          <w:color w:val="000000" w:themeColor="text1"/>
          <w:sz w:val="24"/>
          <w:szCs w:val="24"/>
          <w14:textFill>
            <w14:solidFill>
              <w14:schemeClr w14:val="tx1"/>
            </w14:solidFill>
          </w14:textFill>
        </w:rPr>
        <w:t>19、投标截止</w:t>
      </w:r>
      <w:bookmarkEnd w:id="147"/>
      <w:bookmarkEnd w:id="148"/>
      <w:bookmarkEnd w:id="149"/>
      <w:r>
        <w:rPr>
          <w:rFonts w:ascii="Times New Roman" w:hAnsi="Times New Roman" w:eastAsia="方正黑体_GBK" w:cs="Times New Roman"/>
          <w:b w:val="0"/>
          <w:color w:val="000000" w:themeColor="text1"/>
          <w:sz w:val="24"/>
          <w:szCs w:val="24"/>
          <w14:textFill>
            <w14:solidFill>
              <w14:schemeClr w14:val="tx1"/>
            </w14:solidFill>
          </w14:textFill>
        </w:rPr>
        <w:t>时间</w:t>
      </w:r>
    </w:p>
    <w:p w14:paraId="147405A2">
      <w:pPr>
        <w:spacing w:line="480" w:lineRule="exact"/>
        <w:ind w:firstLine="480" w:firstLineChars="200"/>
        <w:rPr>
          <w:rFonts w:eastAsia="方正仿宋_GBK"/>
          <w:iCs/>
          <w:color w:val="000000" w:themeColor="text1"/>
          <w:sz w:val="24"/>
          <w:szCs w:val="24"/>
          <w14:textFill>
            <w14:solidFill>
              <w14:schemeClr w14:val="tx1"/>
            </w14:solidFill>
          </w14:textFill>
        </w:rPr>
      </w:pPr>
      <w:r>
        <w:rPr>
          <w:rFonts w:eastAsia="方正仿宋_GBK"/>
          <w:iCs/>
          <w:color w:val="000000" w:themeColor="text1"/>
          <w:sz w:val="24"/>
          <w:szCs w:val="24"/>
          <w14:textFill>
            <w14:solidFill>
              <w14:schemeClr w14:val="tx1"/>
            </w14:solidFill>
          </w14:textFill>
        </w:rPr>
        <w:t>19.1 投标人上传电子投标文件的时间不得迟于招标公告中规定的投标截止时间。</w:t>
      </w:r>
    </w:p>
    <w:p w14:paraId="2851E007">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投标人应充分考虑到网络环境、网络带宽等风险因素，如因投标人自身原因造成的电子投标文件上传不成功的按照本招标文件第二章第27.1.2条规定做无效投标处理。</w:t>
      </w:r>
    </w:p>
    <w:p w14:paraId="1EEBC207">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19.2</w:t>
      </w:r>
      <w:r>
        <w:rPr>
          <w:rFonts w:eastAsia="方正仿宋_GBK"/>
          <w:bCs/>
          <w:color w:val="000000" w:themeColor="text1"/>
          <w:sz w:val="24"/>
          <w:szCs w:val="24"/>
          <w14:textFill>
            <w14:solidFill>
              <w14:schemeClr w14:val="tx1"/>
            </w14:solidFill>
          </w14:textFill>
        </w:rPr>
        <w:t>采购代理机构可以按照规定，通过修改招标文件酌情延长投标截止时间，在此情况下，投标人的所有权利和义务以及投标人受制的截止时间均应以延长后新的截止时间为准。</w:t>
      </w:r>
    </w:p>
    <w:p w14:paraId="129F0742">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50" w:name="_Toc20823299"/>
      <w:bookmarkStart w:id="151" w:name="_Toc513029227"/>
      <w:bookmarkStart w:id="152" w:name="_Toc16938543"/>
      <w:r>
        <w:rPr>
          <w:rFonts w:ascii="Times New Roman" w:hAnsi="Times New Roman" w:eastAsia="方正黑体_GBK" w:cs="Times New Roman"/>
          <w:b w:val="0"/>
          <w:bCs w:val="0"/>
          <w:color w:val="000000" w:themeColor="text1"/>
          <w:sz w:val="24"/>
          <w:szCs w:val="24"/>
          <w14:textFill>
            <w14:solidFill>
              <w14:schemeClr w14:val="tx1"/>
            </w14:solidFill>
          </w14:textFill>
        </w:rPr>
        <w:t>20、投标文件</w:t>
      </w:r>
      <w:bookmarkEnd w:id="150"/>
      <w:bookmarkEnd w:id="151"/>
      <w:bookmarkEnd w:id="152"/>
      <w:r>
        <w:rPr>
          <w:rFonts w:ascii="Times New Roman" w:hAnsi="Times New Roman" w:eastAsia="方正黑体_GBK" w:cs="Times New Roman"/>
          <w:b w:val="0"/>
          <w:bCs w:val="0"/>
          <w:color w:val="000000" w:themeColor="text1"/>
          <w:sz w:val="24"/>
          <w:szCs w:val="24"/>
          <w14:textFill>
            <w14:solidFill>
              <w14:schemeClr w14:val="tx1"/>
            </w14:solidFill>
          </w14:textFill>
        </w:rPr>
        <w:t>的拒收</w:t>
      </w:r>
    </w:p>
    <w:p w14:paraId="5B976D14">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20.1</w:t>
      </w:r>
      <w:r>
        <w:rPr>
          <w:rFonts w:eastAsia="方正仿宋_GBK"/>
          <w:bCs/>
          <w:color w:val="000000" w:themeColor="text1"/>
          <w:sz w:val="24"/>
          <w:szCs w:val="24"/>
          <w14:textFill>
            <w14:solidFill>
              <w14:schemeClr w14:val="tx1"/>
            </w14:solidFill>
          </w14:textFill>
        </w:rPr>
        <w:t>采购代理机构拒绝接收在其规定的投标截止时间后上传的任何投标文件。</w:t>
      </w:r>
    </w:p>
    <w:p w14:paraId="56A789B6">
      <w:pPr>
        <w:pStyle w:val="191"/>
        <w:keepNext w:val="0"/>
        <w:keepLines w:val="0"/>
        <w:spacing w:before="0" w:after="0" w:line="46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53" w:name="_Toc20823300"/>
      <w:bookmarkStart w:id="154" w:name="_Toc16938544"/>
      <w:bookmarkStart w:id="155" w:name="_Toc513029228"/>
      <w:bookmarkStart w:id="156" w:name="_Toc513029229"/>
      <w:bookmarkStart w:id="157" w:name="_Toc20823301"/>
      <w:bookmarkStart w:id="158" w:name="_Toc120614218"/>
      <w:bookmarkStart w:id="159" w:name="_Toc16938545"/>
      <w:r>
        <w:rPr>
          <w:rFonts w:ascii="Times New Roman" w:hAnsi="Times New Roman" w:eastAsia="方正黑体_GBK" w:cs="Times New Roman"/>
          <w:b w:val="0"/>
          <w:bCs w:val="0"/>
          <w:color w:val="000000" w:themeColor="text1"/>
          <w:sz w:val="24"/>
          <w:szCs w:val="24"/>
          <w14:textFill>
            <w14:solidFill>
              <w14:schemeClr w14:val="tx1"/>
            </w14:solidFill>
          </w14:textFill>
        </w:rPr>
        <w:t>21、投标文件的撤回和修改</w:t>
      </w:r>
      <w:bookmarkEnd w:id="153"/>
      <w:bookmarkEnd w:id="154"/>
      <w:bookmarkEnd w:id="155"/>
    </w:p>
    <w:p w14:paraId="553865AF">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21.1 投标文件的撤回</w:t>
      </w:r>
    </w:p>
    <w:p w14:paraId="17158B64">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21.1.1 电子投标文件的撤回</w:t>
      </w:r>
    </w:p>
    <w:p w14:paraId="4C784E19">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投标人可在投标截止时间前，撤回其电子投标文件，具体操作方法见《操作手册》。</w:t>
      </w:r>
    </w:p>
    <w:p w14:paraId="0F5232A9">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21.1.2 投标人撤回电子投标文件，则认为其不再参与本项目投标活动。</w:t>
      </w:r>
    </w:p>
    <w:p w14:paraId="4F43ED74">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21.2 投标文件的修改</w:t>
      </w:r>
    </w:p>
    <w:p w14:paraId="2DB14C74">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21.2.1投标人可在投标截止时间前，对其电子投标文件进行修改，具体操作方法见《操作手册》。</w:t>
      </w:r>
    </w:p>
    <w:p w14:paraId="1611D7CB">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21.2.2</w:t>
      </w:r>
      <w:r>
        <w:rPr>
          <w:rFonts w:eastAsia="方正仿宋_GBK"/>
          <w:bCs/>
          <w:color w:val="000000" w:themeColor="text1"/>
          <w:sz w:val="24"/>
          <w:szCs w:val="24"/>
          <w14:textFill>
            <w14:solidFill>
              <w14:schemeClr w14:val="tx1"/>
            </w14:solidFill>
          </w14:textFill>
        </w:rPr>
        <w:t xml:space="preserve"> 在投标截止时间之后，投标人不得对其电子投标文件作任何修改。</w:t>
      </w:r>
    </w:p>
    <w:p w14:paraId="0874148E">
      <w:pPr>
        <w:spacing w:line="46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21.3</w:t>
      </w:r>
      <w:r>
        <w:rPr>
          <w:rFonts w:eastAsia="方正仿宋_GBK"/>
          <w:bCs/>
          <w:color w:val="000000" w:themeColor="text1"/>
          <w:sz w:val="24"/>
          <w:szCs w:val="24"/>
          <w14:textFill>
            <w14:solidFill>
              <w14:schemeClr w14:val="tx1"/>
            </w14:solidFill>
          </w14:textFill>
        </w:rPr>
        <w:t xml:space="preserve"> 在投标截止时间至招标文件中规定的投标有效期满之间的这段时间内，投标人不得撤回其投标。</w:t>
      </w:r>
    </w:p>
    <w:p w14:paraId="0E65A58D">
      <w:pPr>
        <w:pStyle w:val="189"/>
        <w:keepNext w:val="0"/>
        <w:keepLines w:val="0"/>
        <w:spacing w:before="0" w:after="0" w:line="46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五、开标与评标</w:t>
      </w:r>
      <w:bookmarkEnd w:id="156"/>
      <w:bookmarkEnd w:id="157"/>
      <w:bookmarkEnd w:id="158"/>
      <w:bookmarkEnd w:id="159"/>
    </w:p>
    <w:p w14:paraId="08316B72">
      <w:pPr>
        <w:pStyle w:val="191"/>
        <w:keepNext w:val="0"/>
        <w:keepLines w:val="0"/>
        <w:spacing w:before="0" w:after="0" w:line="46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60" w:name="_Toc20823302"/>
      <w:bookmarkStart w:id="161" w:name="_Toc16938546"/>
      <w:bookmarkStart w:id="162" w:name="_Toc513029230"/>
      <w:bookmarkStart w:id="163" w:name="_Toc16938547"/>
      <w:bookmarkStart w:id="164" w:name="_Toc513029231"/>
      <w:bookmarkStart w:id="165" w:name="_Toc20823303"/>
      <w:r>
        <w:rPr>
          <w:rFonts w:ascii="Times New Roman" w:hAnsi="Times New Roman" w:eastAsia="方正黑体_GBK" w:cs="Times New Roman"/>
          <w:b w:val="0"/>
          <w:bCs w:val="0"/>
          <w:color w:val="000000" w:themeColor="text1"/>
          <w:sz w:val="24"/>
          <w:szCs w:val="24"/>
          <w14:textFill>
            <w14:solidFill>
              <w14:schemeClr w14:val="tx1"/>
            </w14:solidFill>
          </w14:textFill>
        </w:rPr>
        <w:t>22、开标</w:t>
      </w:r>
      <w:bookmarkEnd w:id="160"/>
      <w:bookmarkEnd w:id="161"/>
      <w:bookmarkEnd w:id="162"/>
    </w:p>
    <w:p w14:paraId="1B7E050A">
      <w:pPr>
        <w:pStyle w:val="309"/>
        <w:spacing w:line="460" w:lineRule="exact"/>
        <w:ind w:firstLineChars="200"/>
        <w:rPr>
          <w:rFonts w:eastAsia="方正仿宋_GBK"/>
          <w:color w:val="000000" w:themeColor="text1"/>
          <w:sz w:val="24"/>
          <w:szCs w:val="24"/>
          <w:lang w:val="en-US"/>
          <w14:textFill>
            <w14:solidFill>
              <w14:schemeClr w14:val="tx1"/>
            </w14:solidFill>
          </w14:textFill>
        </w:rPr>
      </w:pPr>
      <w:r>
        <w:rPr>
          <w:rFonts w:eastAsia="方正仿宋_GBK"/>
          <w:color w:val="000000" w:themeColor="text1"/>
          <w:sz w:val="24"/>
          <w:szCs w:val="24"/>
          <w14:textFill>
            <w14:solidFill>
              <w14:schemeClr w14:val="tx1"/>
            </w14:solidFill>
          </w14:textFill>
        </w:rPr>
        <w:t>2</w:t>
      </w:r>
      <w:r>
        <w:rPr>
          <w:rFonts w:eastAsia="方正仿宋_GBK"/>
          <w:color w:val="000000" w:themeColor="text1"/>
          <w:sz w:val="24"/>
          <w:szCs w:val="24"/>
          <w:lang w:val="en-US"/>
          <w14:textFill>
            <w14:solidFill>
              <w14:schemeClr w14:val="tx1"/>
            </w14:solidFill>
          </w14:textFill>
        </w:rPr>
        <w:t>2</w:t>
      </w:r>
      <w:r>
        <w:rPr>
          <w:rFonts w:eastAsia="方正仿宋_GBK"/>
          <w:color w:val="000000" w:themeColor="text1"/>
          <w:sz w:val="24"/>
          <w:szCs w:val="24"/>
          <w14:textFill>
            <w14:solidFill>
              <w14:schemeClr w14:val="tx1"/>
            </w14:solidFill>
          </w14:textFill>
        </w:rPr>
        <w:t>.1</w:t>
      </w:r>
      <w:r>
        <w:rPr>
          <w:rFonts w:eastAsia="方正仿宋_GBK"/>
          <w:bCs/>
          <w:color w:val="000000" w:themeColor="text1"/>
          <w:sz w:val="24"/>
          <w:szCs w:val="24"/>
          <w14:textFill>
            <w14:solidFill>
              <w14:schemeClr w14:val="tx1"/>
            </w14:solidFill>
          </w14:textFill>
        </w:rPr>
        <w:t>采购代理机构将在招标公告中规定的时间和地点组织公开开标</w:t>
      </w:r>
      <w:r>
        <w:rPr>
          <w:rFonts w:eastAsia="方正仿宋_GBK"/>
          <w:color w:val="000000" w:themeColor="text1"/>
          <w:sz w:val="24"/>
          <w:szCs w:val="24"/>
          <w:lang w:val="en-US"/>
          <w14:textFill>
            <w14:solidFill>
              <w14:schemeClr w14:val="tx1"/>
            </w14:solidFill>
          </w14:textFill>
        </w:rPr>
        <w:t>。投标人应当按照《“苏采云”系统</w:t>
      </w:r>
      <w:r>
        <w:rPr>
          <w:rFonts w:hint="eastAsia" w:eastAsia="方正仿宋_GBK"/>
          <w:color w:val="000000" w:themeColor="text1"/>
          <w:sz w:val="24"/>
          <w:szCs w:val="24"/>
          <w:lang w:val="en-US" w:eastAsia="zh-CN"/>
          <w14:textFill>
            <w14:solidFill>
              <w14:schemeClr w14:val="tx1"/>
            </w14:solidFill>
          </w14:textFill>
        </w:rPr>
        <w:t>投标人</w:t>
      </w:r>
      <w:r>
        <w:rPr>
          <w:rFonts w:eastAsia="方正仿宋_GBK"/>
          <w:color w:val="000000" w:themeColor="text1"/>
          <w:sz w:val="24"/>
          <w:szCs w:val="24"/>
          <w:lang w:val="en-US"/>
          <w14:textFill>
            <w14:solidFill>
              <w14:schemeClr w14:val="tx1"/>
            </w14:solidFill>
          </w14:textFill>
        </w:rPr>
        <w:t>操作手册》规定，参加开标活动和在“苏采云”系统规定的时间内对投标文件进行解密。</w:t>
      </w:r>
    </w:p>
    <w:p w14:paraId="3DF260FD">
      <w:pPr>
        <w:pStyle w:val="309"/>
        <w:spacing w:line="460" w:lineRule="exact"/>
        <w:ind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lang w:val="en-US"/>
          <w14:textFill>
            <w14:solidFill>
              <w14:schemeClr w14:val="tx1"/>
            </w14:solidFill>
          </w14:textFill>
        </w:rPr>
        <w:t>22.2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14:paraId="78513093">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22.3投标人在开标过程中涉及到的投标文件解密、开标结果确认等工作，应按照《操作手册》规定执行。</w:t>
      </w:r>
    </w:p>
    <w:p w14:paraId="4EC8E89D">
      <w:pPr>
        <w:spacing w:line="46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22.4投标人如果对开标过程和开标记录有疑义，应当根据《操作手册》规定提出，如 “苏采云”系统中《开标记录表》宣布后5分钟内未提出的，视同认可开标结果。</w:t>
      </w:r>
    </w:p>
    <w:p w14:paraId="15BB55F6">
      <w:pPr>
        <w:spacing w:line="460" w:lineRule="exact"/>
        <w:ind w:firstLine="480" w:firstLineChars="200"/>
        <w:outlineLvl w:val="3"/>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23、评标委员会</w:t>
      </w:r>
    </w:p>
    <w:p w14:paraId="477CC451">
      <w:pPr>
        <w:spacing w:line="460" w:lineRule="exact"/>
        <w:ind w:firstLine="480" w:firstLineChars="200"/>
        <w:outlineLvl w:val="3"/>
        <w:rPr>
          <w:rFonts w:eastAsia="方正仿宋_GBK"/>
          <w:b/>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23.1开标后，采购代理机构将立即组织评标委员会（以下简称评委会）进行评标。</w:t>
      </w:r>
    </w:p>
    <w:p w14:paraId="37A813D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23.2 评委会由采购人代表和有关技术、经济等方面的专家组成，且人员构成符合政府采购有关规定。</w:t>
      </w:r>
    </w:p>
    <w:p w14:paraId="1341A1B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23.3评委会独立工作，负责评审所有投标文件并确定中标侯选人。</w:t>
      </w:r>
    </w:p>
    <w:p w14:paraId="09D66B90">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b w:val="0"/>
          <w:bCs w:val="0"/>
          <w:color w:val="000000" w:themeColor="text1"/>
          <w:sz w:val="24"/>
          <w:szCs w:val="24"/>
          <w14:textFill>
            <w14:solidFill>
              <w14:schemeClr w14:val="tx1"/>
            </w14:solidFill>
          </w14:textFill>
        </w:rPr>
        <w:t>24、评标过程的保密与公正</w:t>
      </w:r>
    </w:p>
    <w:bookmarkEnd w:id="163"/>
    <w:bookmarkEnd w:id="164"/>
    <w:bookmarkEnd w:id="165"/>
    <w:p w14:paraId="0BC4DB2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24.1</w:t>
      </w:r>
      <w:r>
        <w:rPr>
          <w:rFonts w:eastAsia="方正仿宋_GBK"/>
          <w:bCs/>
          <w:color w:val="000000" w:themeColor="text1"/>
          <w:sz w:val="24"/>
          <w:szCs w:val="24"/>
          <w14:textFill>
            <w14:solidFill>
              <w14:schemeClr w14:val="tx1"/>
            </w14:solidFill>
          </w14:textFill>
        </w:rPr>
        <w:t>凡是与审查、澄清、评价和比较投标的有关资料以及授标建议等，采购人、评委、采购代理机构均不得向投标人或与评标无关的其他人员透露。</w:t>
      </w:r>
    </w:p>
    <w:p w14:paraId="4665441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24.2在评标过程中，投标人不得以任何行为影响评标过程，否则其投标文件将被作为无效投标文件。</w:t>
      </w:r>
    </w:p>
    <w:p w14:paraId="3D2BFE6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24.3 采购代理机构和评委会不向未中标的投标人解释未中标原因，也不公布评标过程中的相关细节。</w:t>
      </w:r>
    </w:p>
    <w:p w14:paraId="2E9FEB9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24.4 采用综合评分法的项目，未中标的投标人可于中标结果公告期限届满之日起通过“苏采云”系统查看自己的评审得分及排序情况。</w:t>
      </w:r>
    </w:p>
    <w:p w14:paraId="1D426198">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66" w:name="_Toc513029232"/>
      <w:bookmarkStart w:id="167" w:name="_Toc16938548"/>
      <w:bookmarkStart w:id="168" w:name="_Toc20823304"/>
      <w:r>
        <w:rPr>
          <w:rFonts w:ascii="Times New Roman" w:hAnsi="Times New Roman" w:eastAsia="方正黑体_GBK" w:cs="Times New Roman"/>
          <w:b w:val="0"/>
          <w:bCs w:val="0"/>
          <w:color w:val="000000" w:themeColor="text1"/>
          <w:sz w:val="24"/>
          <w:szCs w:val="24"/>
          <w14:textFill>
            <w14:solidFill>
              <w14:schemeClr w14:val="tx1"/>
            </w14:solidFill>
          </w14:textFill>
        </w:rPr>
        <w:t>25、投标文件的澄清</w:t>
      </w:r>
      <w:bookmarkEnd w:id="166"/>
      <w:bookmarkEnd w:id="167"/>
      <w:bookmarkEnd w:id="168"/>
    </w:p>
    <w:p w14:paraId="5A1AE1A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25.1评标期间，评委会对投标文件中含义不明确、同类问题表述不一致或者有明显文字和计算错误的内容 ，有权要求投标人作出必要的澄清、说明或者补正。</w:t>
      </w:r>
    </w:p>
    <w:p w14:paraId="331E704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投标人的澄清、说明或者补正不得超出投标文件的范围或者改变投标文件的实质性内容。</w:t>
      </w:r>
    </w:p>
    <w:p w14:paraId="283F5A7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评委会并非对每个投标人都做澄清要求。</w:t>
      </w:r>
    </w:p>
    <w:p w14:paraId="29363378">
      <w:pPr>
        <w:pStyle w:val="309"/>
        <w:spacing w:line="480" w:lineRule="exact"/>
        <w:ind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w:t>
      </w:r>
      <w:r>
        <w:rPr>
          <w:rFonts w:eastAsia="方正仿宋_GBK"/>
          <w:color w:val="000000" w:themeColor="text1"/>
          <w:sz w:val="24"/>
          <w:szCs w:val="24"/>
          <w:lang w:val="en-US"/>
          <w14:textFill>
            <w14:solidFill>
              <w14:schemeClr w14:val="tx1"/>
            </w14:solidFill>
          </w14:textFill>
        </w:rPr>
        <w:t>5</w:t>
      </w:r>
      <w:r>
        <w:rPr>
          <w:rFonts w:eastAsia="方正仿宋_GBK"/>
          <w:color w:val="000000" w:themeColor="text1"/>
          <w:sz w:val="24"/>
          <w:szCs w:val="24"/>
          <w14:textFill>
            <w14:solidFill>
              <w14:schemeClr w14:val="tx1"/>
            </w14:solidFill>
          </w14:textFill>
        </w:rPr>
        <w:t>.2需要投标人进行澄清、说明和补正的，</w:t>
      </w:r>
      <w:r>
        <w:rPr>
          <w:rFonts w:eastAsia="方正仿宋_GBK"/>
          <w:color w:val="000000" w:themeColor="text1"/>
          <w:sz w:val="24"/>
          <w:szCs w:val="24"/>
          <w:lang w:val="en-US"/>
          <w14:textFill>
            <w14:solidFill>
              <w14:schemeClr w14:val="tx1"/>
            </w14:solidFill>
          </w14:textFill>
        </w:rPr>
        <w:t>本项目投标人的澄清、说明或者补正采用线上澄清，</w:t>
      </w:r>
      <w:r>
        <w:rPr>
          <w:rFonts w:eastAsia="方正仿宋_GBK"/>
          <w:color w:val="000000" w:themeColor="text1"/>
          <w:sz w:val="24"/>
          <w:szCs w:val="24"/>
          <w14:textFill>
            <w14:solidFill>
              <w14:schemeClr w14:val="tx1"/>
            </w14:solidFill>
          </w14:textFill>
        </w:rPr>
        <w:t>评委会将通过</w:t>
      </w:r>
      <w:r>
        <w:rPr>
          <w:rFonts w:eastAsia="方正仿宋_GBK"/>
          <w:color w:val="000000" w:themeColor="text1"/>
          <w:sz w:val="24"/>
          <w:szCs w:val="24"/>
          <w:lang w:val="en-US"/>
          <w14:textFill>
            <w14:solidFill>
              <w14:schemeClr w14:val="tx1"/>
            </w14:solidFill>
          </w14:textFill>
        </w:rPr>
        <w:t>“苏采云”系统</w:t>
      </w:r>
      <w:r>
        <w:rPr>
          <w:rFonts w:eastAsia="方正仿宋_GBK"/>
          <w:color w:val="000000" w:themeColor="text1"/>
          <w:sz w:val="24"/>
          <w:szCs w:val="24"/>
          <w14:textFill>
            <w14:solidFill>
              <w14:schemeClr w14:val="tx1"/>
            </w14:solidFill>
          </w14:textFill>
        </w:rPr>
        <w:t>向投标人发出“澄清要求函”，接到“澄清要求函”的投标人应当按照要求</w:t>
      </w:r>
      <w:r>
        <w:rPr>
          <w:rFonts w:eastAsia="方正仿宋_GBK"/>
          <w:color w:val="000000" w:themeColor="text1"/>
          <w:sz w:val="24"/>
          <w:szCs w:val="24"/>
          <w:lang w:val="en-US"/>
          <w14:textFill>
            <w14:solidFill>
              <w14:schemeClr w14:val="tx1"/>
            </w14:solidFill>
          </w14:textFill>
        </w:rPr>
        <w:t>在规定时间内通过“苏采云”系统</w:t>
      </w:r>
      <w:r>
        <w:rPr>
          <w:rFonts w:eastAsia="方正仿宋_GBK"/>
          <w:color w:val="000000" w:themeColor="text1"/>
          <w:sz w:val="24"/>
          <w:szCs w:val="24"/>
          <w14:textFill>
            <w14:solidFill>
              <w14:schemeClr w14:val="tx1"/>
            </w14:solidFill>
          </w14:textFill>
        </w:rPr>
        <w:t>中提交“澄清响应函”并加盖CA电子公章。澄清、说明和补正的内容作为投标文件的补充部分，具体操作方式见《操作手册》。</w:t>
      </w:r>
    </w:p>
    <w:p w14:paraId="4474922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25.3 接到评委会澄清、说明和补正要求的投标人如未按规定做出澄清、说明和补正，其风险由投标人自行承担。</w:t>
      </w:r>
    </w:p>
    <w:p w14:paraId="5D65982E">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bookmarkStart w:id="169" w:name="_Toc16938549"/>
      <w:bookmarkStart w:id="170" w:name="_Toc20823305"/>
      <w:bookmarkStart w:id="171" w:name="_Toc513029233"/>
      <w:r>
        <w:rPr>
          <w:rFonts w:ascii="Times New Roman" w:hAnsi="Times New Roman" w:eastAsia="方正黑体_GBK" w:cs="Times New Roman"/>
          <w:b w:val="0"/>
          <w:bCs w:val="0"/>
          <w:color w:val="000000" w:themeColor="text1"/>
          <w:sz w:val="24"/>
          <w:szCs w:val="24"/>
          <w14:textFill>
            <w14:solidFill>
              <w14:schemeClr w14:val="tx1"/>
            </w14:solidFill>
          </w14:textFill>
        </w:rPr>
        <w:t>26、对投标文件的初审</w:t>
      </w:r>
      <w:bookmarkEnd w:id="169"/>
      <w:bookmarkEnd w:id="170"/>
      <w:bookmarkEnd w:id="171"/>
    </w:p>
    <w:p w14:paraId="5BB7C41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26.1</w:t>
      </w:r>
      <w:r>
        <w:rPr>
          <w:rFonts w:eastAsia="方正仿宋_GBK"/>
          <w:bCs/>
          <w:color w:val="000000" w:themeColor="text1"/>
          <w:sz w:val="24"/>
          <w:szCs w:val="24"/>
          <w14:textFill>
            <w14:solidFill>
              <w14:schemeClr w14:val="tx1"/>
            </w14:solidFill>
          </w14:textFill>
        </w:rPr>
        <w:t>投标文件初审分为资格审查和符合性审查。</w:t>
      </w:r>
    </w:p>
    <w:p w14:paraId="0C219A6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26.1.1 资格审查：依据法律法规和招标文件的规定，</w:t>
      </w:r>
      <w:r>
        <w:rPr>
          <w:rFonts w:eastAsia="方正仿宋_GBK"/>
          <w:color w:val="000000" w:themeColor="text1"/>
          <w:sz w:val="24"/>
          <w:szCs w:val="24"/>
          <w14:textFill>
            <w14:solidFill>
              <w14:schemeClr w14:val="tx1"/>
            </w14:solidFill>
          </w14:textFill>
        </w:rPr>
        <w:t>由采购人或其委托的代理机构对投标文件中的资格证明文件进行审查，以确定投标人是否具备投标资格。</w:t>
      </w:r>
    </w:p>
    <w:p w14:paraId="4177174A">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采购人在进行资格性审查的同时，将在“信用中国”网站（www.creditchina.gov.cn）查询投标人的信用记录，以确定投标人是否具备投标资格,查询结果留存并归档。</w:t>
      </w:r>
    </w:p>
    <w:p w14:paraId="497BC2C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接受联合体的项目，两个以上的自然人、法人或者其他组织组成一个联合体，以一个投标人的身份共同参加政府采购活动的,联合体成员存在不良信用记录的，视同联合体存在不良应用记录。</w:t>
      </w:r>
    </w:p>
    <w:p w14:paraId="223B7020">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26.1.2 符合性审查：依据招标文件的规定，由评委会从投标文件的有效性、完整性和对招标文件的响应程度进行审查，以确定是否对招标文件的实质性要求作出响应。</w:t>
      </w:r>
    </w:p>
    <w:p w14:paraId="6CFC75D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26.1.3对各投标人符合性审查过程中，对初步被认定为无效投标者，由评委会组长或采购人代表将集体意见通过</w:t>
      </w:r>
      <w:r>
        <w:rPr>
          <w:rFonts w:eastAsia="方正仿宋_GBK"/>
          <w:color w:val="000000" w:themeColor="text1"/>
          <w:sz w:val="24"/>
          <w:szCs w:val="24"/>
          <w:lang w:val="zh-CN"/>
          <w14:textFill>
            <w14:solidFill>
              <w14:schemeClr w14:val="tx1"/>
            </w14:solidFill>
          </w14:textFill>
        </w:rPr>
        <w:t>“苏采云”系统中告知未通过符合性审查的原因，评标结束后，将不再告知未通过符合性审查的原因</w:t>
      </w:r>
      <w:r>
        <w:rPr>
          <w:rFonts w:eastAsia="方正仿宋_GBK"/>
          <w:color w:val="000000" w:themeColor="text1"/>
          <w:sz w:val="24"/>
          <w:szCs w:val="24"/>
          <w14:textFill>
            <w14:solidFill>
              <w14:schemeClr w14:val="tx1"/>
            </w14:solidFill>
          </w14:textFill>
        </w:rPr>
        <w:t>。</w:t>
      </w:r>
    </w:p>
    <w:p w14:paraId="204B14A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26.2在详细评标之前，评委会将首先审查每份投标文件是否实质性响应了招标文件的要求。实质性响应的投标应该是与招标文件要求的全部条款、条件和规格相符，没有重大偏离或保留的投标。</w:t>
      </w:r>
    </w:p>
    <w:p w14:paraId="5D0A379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74585A4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26.3如果投标文件实质上没有响应招标文件的要求，评委会将予以拒绝，投标人不得通过修改或撤销不合要求的偏离或保留而使其投标成为实质性响应的投标。</w:t>
      </w:r>
    </w:p>
    <w:p w14:paraId="2A51BC58">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26.4</w:t>
      </w:r>
      <w:r>
        <w:rPr>
          <w:rFonts w:eastAsia="方正仿宋_GBK"/>
          <w:bCs/>
          <w:color w:val="000000" w:themeColor="text1"/>
          <w:sz w:val="24"/>
          <w:szCs w:val="24"/>
          <w14:textFill>
            <w14:solidFill>
              <w14:schemeClr w14:val="tx1"/>
            </w14:solidFill>
          </w14:textFill>
        </w:rPr>
        <w:t>评委会将对确定为实质性响应的投标进行进一步审核，确定其是否有计算上或累加上的算术错误，修正错误的原则如下：</w:t>
      </w:r>
    </w:p>
    <w:p w14:paraId="33BAF52C">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（1）投标文件中开标一览表内容与投标文件中相应内容不一致的，以开标一览表为准。</w:t>
      </w:r>
    </w:p>
    <w:p w14:paraId="3CDB4B35">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（2）大写金额和小写金额不一致的，以大写金额为准。</w:t>
      </w:r>
    </w:p>
    <w:p w14:paraId="739E35DB">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（3）单价金额小数点或者百分比有明显错位的，以开标一览表的总价为准，并修改单价。</w:t>
      </w:r>
    </w:p>
    <w:p w14:paraId="35C7E936">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（4）总价金额与按单价汇总金额不一致的，以单价金额计算结果为准。</w:t>
      </w:r>
    </w:p>
    <w:p w14:paraId="1DB5E64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同时出现两种以上错误的，按照前款规定的顺序修正。</w:t>
      </w:r>
    </w:p>
    <w:p w14:paraId="2E90AB18">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26.5 </w:t>
      </w:r>
      <w:r>
        <w:rPr>
          <w:rFonts w:eastAsia="方正仿宋_GBK"/>
          <w:bCs/>
          <w:color w:val="000000" w:themeColor="text1"/>
          <w:sz w:val="24"/>
          <w:szCs w:val="24"/>
          <w14:textFill>
            <w14:solidFill>
              <w14:schemeClr w14:val="tx1"/>
            </w14:solidFill>
          </w14:textFill>
        </w:rPr>
        <w:t>评委会将按上述修正错误的方法调整投标文件中的投标报价，并通过</w:t>
      </w:r>
      <w:r>
        <w:rPr>
          <w:rFonts w:eastAsia="方正仿宋_GBK"/>
          <w:color w:val="000000" w:themeColor="text1"/>
          <w:sz w:val="24"/>
          <w:szCs w:val="24"/>
          <w14:textFill>
            <w14:solidFill>
              <w14:schemeClr w14:val="tx1"/>
            </w14:solidFill>
          </w14:textFill>
        </w:rPr>
        <w:t>“苏采云”系统</w:t>
      </w:r>
      <w:r>
        <w:rPr>
          <w:rFonts w:eastAsia="方正仿宋_GBK"/>
          <w:bCs/>
          <w:color w:val="000000" w:themeColor="text1"/>
          <w:sz w:val="24"/>
          <w:szCs w:val="24"/>
          <w14:textFill>
            <w14:solidFill>
              <w14:schemeClr w14:val="tx1"/>
            </w14:solidFill>
          </w14:textFill>
        </w:rPr>
        <w:t>告知投标人，调整后的价格应对投标人具有约束力。如果投标人不接受修正后的价格，则其投标将被拒绝。</w:t>
      </w:r>
    </w:p>
    <w:p w14:paraId="64D281FF">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797E2191">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3DB7984A">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非单一产品采购项目，招标文件中将载明其中的核心产品。多家投标人提供的核心产品品牌相同的，按前两款规定处理。</w:t>
      </w:r>
    </w:p>
    <w:p w14:paraId="43149883">
      <w:pPr>
        <w:spacing w:line="480" w:lineRule="exact"/>
        <w:ind w:firstLine="480" w:firstLineChars="200"/>
        <w:rPr>
          <w:rFonts w:eastAsia="方正仿宋_GBK"/>
          <w:color w:val="000000" w:themeColor="text1"/>
          <w:sz w:val="24"/>
          <w:szCs w:val="24"/>
          <w14:textFill>
            <w14:solidFill>
              <w14:schemeClr w14:val="tx1"/>
            </w14:solidFill>
          </w14:textFill>
        </w:rPr>
      </w:pPr>
      <w:bookmarkStart w:id="172" w:name="_Toc20823306"/>
      <w:bookmarkStart w:id="173" w:name="_Toc16938550"/>
      <w:bookmarkStart w:id="174" w:name="_Toc513029234"/>
      <w:r>
        <w:rPr>
          <w:rFonts w:eastAsia="方正仿宋_GBK"/>
          <w:color w:val="000000" w:themeColor="text1"/>
          <w:sz w:val="24"/>
          <w:szCs w:val="24"/>
          <w14:textFill>
            <w14:solidFill>
              <w14:schemeClr w14:val="tx1"/>
            </w14:solidFill>
          </w14:textFill>
        </w:rPr>
        <w:t>26.7投标人在开、评标全过程中应随时保持系统在线，及时在“苏采云”系统查阅、答复相关信息。</w:t>
      </w:r>
    </w:p>
    <w:p w14:paraId="5CA78B09">
      <w:pPr>
        <w:pStyle w:val="191"/>
        <w:keepNext w:val="0"/>
        <w:keepLines w:val="0"/>
        <w:spacing w:before="0" w:after="0" w:line="480" w:lineRule="exact"/>
        <w:ind w:firstLine="480" w:firstLineChars="200"/>
        <w:rPr>
          <w:rFonts w:ascii="Times New Roman" w:hAnsi="Times New Roman" w:eastAsia="方正黑体_GBK" w:cs="Times New Roman"/>
          <w:b w:val="0"/>
          <w:bCs w:val="0"/>
          <w:color w:val="000000" w:themeColor="text1"/>
          <w:sz w:val="24"/>
          <w:szCs w:val="24"/>
          <w14:textFill>
            <w14:solidFill>
              <w14:schemeClr w14:val="tx1"/>
            </w14:solidFill>
          </w14:textFill>
        </w:rPr>
      </w:pPr>
      <w:r>
        <w:rPr>
          <w:rFonts w:ascii="Times New Roman" w:hAnsi="Times New Roman" w:eastAsia="方正黑体_GBK" w:cs="Times New Roman"/>
          <w:b w:val="0"/>
          <w:bCs w:val="0"/>
          <w:color w:val="000000" w:themeColor="text1"/>
          <w:sz w:val="24"/>
          <w:szCs w:val="24"/>
          <w14:textFill>
            <w14:solidFill>
              <w14:schemeClr w14:val="tx1"/>
            </w14:solidFill>
          </w14:textFill>
        </w:rPr>
        <w:t>27、</w:t>
      </w:r>
      <w:bookmarkEnd w:id="172"/>
      <w:bookmarkEnd w:id="173"/>
      <w:bookmarkEnd w:id="174"/>
      <w:r>
        <w:rPr>
          <w:rFonts w:ascii="Times New Roman" w:hAnsi="Times New Roman" w:eastAsia="方正黑体_GBK" w:cs="Times New Roman"/>
          <w:b w:val="0"/>
          <w:bCs w:val="0"/>
          <w:color w:val="000000" w:themeColor="text1"/>
          <w:sz w:val="24"/>
          <w:szCs w:val="24"/>
          <w14:textFill>
            <w14:solidFill>
              <w14:schemeClr w14:val="tx1"/>
            </w14:solidFill>
          </w14:textFill>
        </w:rPr>
        <w:t>无效投标条款和废标条款</w:t>
      </w:r>
    </w:p>
    <w:p w14:paraId="0F608456">
      <w:pPr>
        <w:spacing w:line="480" w:lineRule="exact"/>
        <w:ind w:firstLine="480" w:firstLineChars="200"/>
        <w:rPr>
          <w:rFonts w:eastAsia="方正仿宋_GBK"/>
          <w:bCs/>
          <w:color w:val="000000" w:themeColor="text1"/>
          <w:sz w:val="24"/>
          <w:szCs w:val="24"/>
          <w14:textFill>
            <w14:solidFill>
              <w14:schemeClr w14:val="tx1"/>
            </w14:solidFill>
          </w14:textFill>
        </w:rPr>
      </w:pPr>
      <w:bookmarkStart w:id="175" w:name="_Toc513029235"/>
      <w:bookmarkStart w:id="176" w:name="_Toc20823307"/>
      <w:bookmarkStart w:id="177" w:name="_Toc16938551"/>
      <w:r>
        <w:rPr>
          <w:rFonts w:eastAsia="方正仿宋_GBK"/>
          <w:bCs/>
          <w:color w:val="000000" w:themeColor="text1"/>
          <w:sz w:val="24"/>
          <w:szCs w:val="24"/>
          <w14:textFill>
            <w14:solidFill>
              <w14:schemeClr w14:val="tx1"/>
            </w14:solidFill>
          </w14:textFill>
        </w:rPr>
        <w:t>27.1无效投标条款</w:t>
      </w:r>
    </w:p>
    <w:p w14:paraId="504CD6E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27.1.1 投标人在</w:t>
      </w:r>
      <w:r>
        <w:rPr>
          <w:rFonts w:eastAsia="方正仿宋_GBK"/>
          <w:color w:val="000000" w:themeColor="text1"/>
          <w:sz w:val="24"/>
          <w:szCs w:val="24"/>
          <w14:textFill>
            <w14:solidFill>
              <w14:schemeClr w14:val="tx1"/>
            </w14:solidFill>
          </w14:textFill>
        </w:rPr>
        <w:t>“苏采云”系统</w:t>
      </w:r>
      <w:r>
        <w:rPr>
          <w:rFonts w:eastAsia="方正仿宋_GBK"/>
          <w:bCs/>
          <w:color w:val="000000" w:themeColor="text1"/>
          <w:sz w:val="24"/>
          <w:szCs w:val="24"/>
          <w14:textFill>
            <w14:solidFill>
              <w14:schemeClr w14:val="tx1"/>
            </w14:solidFill>
          </w14:textFill>
        </w:rPr>
        <w:t>规定的时间内未成功解密电子投标文件的。</w:t>
      </w:r>
    </w:p>
    <w:p w14:paraId="0D640966">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27.1.2 投标人未按照招标文件要求上传电子投标文件的。</w:t>
      </w:r>
    </w:p>
    <w:p w14:paraId="297044D4">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27.1.3同一投标人提交两个（含两个）以上不同的投标报价的。</w:t>
      </w:r>
    </w:p>
    <w:p w14:paraId="3FBC1545">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27.1.4投标人不具备招标文件中规定资格要求的。</w:t>
      </w:r>
    </w:p>
    <w:p w14:paraId="3D04D23C">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27.1.5投标人的报价超过了采购预算或最高限价的。</w:t>
      </w:r>
    </w:p>
    <w:p w14:paraId="26B7FFB1">
      <w:pPr>
        <w:spacing w:line="480" w:lineRule="exact"/>
        <w:ind w:firstLine="480" w:firstLineChars="200"/>
        <w:rPr>
          <w:rFonts w:eastAsia="方正仿宋_GBK"/>
          <w:bCs/>
          <w:i/>
          <w:color w:val="000000" w:themeColor="text1"/>
          <w:sz w:val="24"/>
          <w:szCs w:val="24"/>
          <w:u w:val="single"/>
          <w14:textFill>
            <w14:solidFill>
              <w14:schemeClr w14:val="tx1"/>
            </w14:solidFill>
          </w14:textFill>
        </w:rPr>
      </w:pPr>
      <w:r>
        <w:rPr>
          <w:rFonts w:eastAsia="方正仿宋_GBK"/>
          <w:bCs/>
          <w:color w:val="000000" w:themeColor="text1"/>
          <w:sz w:val="24"/>
          <w:szCs w:val="24"/>
          <w14:textFill>
            <w14:solidFill>
              <w14:schemeClr w14:val="tx1"/>
            </w14:solidFill>
          </w14:textFill>
        </w:rPr>
        <w:t>27.1.6未通过符合性审查的。</w:t>
      </w:r>
    </w:p>
    <w:p w14:paraId="51A77DFF">
      <w:pPr>
        <w:spacing w:line="480" w:lineRule="exact"/>
        <w:ind w:firstLine="480" w:firstLineChars="200"/>
        <w:rPr>
          <w:rFonts w:eastAsia="方正仿宋_GBK"/>
          <w:bCs/>
          <w:color w:val="000000" w:themeColor="text1"/>
          <w:sz w:val="24"/>
          <w:szCs w:val="24"/>
          <w:u w:val="single"/>
          <w14:textFill>
            <w14:solidFill>
              <w14:schemeClr w14:val="tx1"/>
            </w14:solidFill>
          </w14:textFill>
        </w:rPr>
      </w:pPr>
      <w:r>
        <w:rPr>
          <w:rFonts w:eastAsia="方正仿宋_GBK"/>
          <w:bCs/>
          <w:color w:val="000000" w:themeColor="text1"/>
          <w:sz w:val="24"/>
          <w:szCs w:val="24"/>
          <w14:textFill>
            <w14:solidFill>
              <w14:schemeClr w14:val="tx1"/>
            </w14:solidFill>
          </w14:textFill>
        </w:rPr>
        <w:t>27.1.7不符合招标文件中规定的实质性要求和条件的（加斜体下划线内容或打“★”内容为实质性要求和条件）。</w:t>
      </w:r>
    </w:p>
    <w:p w14:paraId="3008572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5679047">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27.1.9 投标文件含有采购人不能接受的附加条件的。</w:t>
      </w:r>
    </w:p>
    <w:p w14:paraId="56C09BC9">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27.1.10评委会认为投标人的报价明显低于其他通过符合性审查投标人的报价，有可能影响产品质量或者不能诚信履约的，将通过</w:t>
      </w:r>
      <w:r>
        <w:rPr>
          <w:rFonts w:eastAsia="方正仿宋_GBK"/>
          <w:color w:val="000000" w:themeColor="text1"/>
          <w:sz w:val="24"/>
          <w:szCs w:val="24"/>
          <w14:textFill>
            <w14:solidFill>
              <w14:schemeClr w14:val="tx1"/>
            </w14:solidFill>
          </w14:textFill>
        </w:rPr>
        <w:t>“苏采云”系统</w:t>
      </w:r>
      <w:r>
        <w:rPr>
          <w:rFonts w:eastAsia="方正仿宋_GBK"/>
          <w:bCs/>
          <w:color w:val="000000" w:themeColor="text1"/>
          <w:sz w:val="24"/>
          <w:szCs w:val="24"/>
          <w14:textFill>
            <w14:solidFill>
              <w14:schemeClr w14:val="tx1"/>
            </w14:solidFill>
          </w14:textFill>
        </w:rPr>
        <w:t>要求其在合理的时间内提供说明，必要时提交相关证明材料；投标人不能证明其报价合理性的，评委会应当将其作为无效投标处理。</w:t>
      </w:r>
    </w:p>
    <w:p w14:paraId="1E92DCF1">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2</w:t>
      </w:r>
      <w:r>
        <w:rPr>
          <w:rFonts w:eastAsia="方正仿宋_GBK"/>
          <w:bCs/>
          <w:color w:val="000000" w:themeColor="text1"/>
          <w:sz w:val="24"/>
          <w:szCs w:val="24"/>
          <w14:textFill>
            <w14:solidFill>
              <w14:schemeClr w14:val="tx1"/>
            </w14:solidFill>
          </w14:textFill>
        </w:rPr>
        <w:t>7</w:t>
      </w:r>
      <w:r>
        <w:rPr>
          <w:rFonts w:eastAsia="方正仿宋_GBK"/>
          <w:bCs/>
          <w:color w:val="000000" w:themeColor="text1"/>
          <w:sz w:val="24"/>
          <w:szCs w:val="24"/>
          <w:lang w:val="zh-CN"/>
          <w14:textFill>
            <w14:solidFill>
              <w14:schemeClr w14:val="tx1"/>
            </w14:solidFill>
          </w14:textFill>
        </w:rPr>
        <w:t>.1.11本项目采购产品被财政部、国家发改委、生态环境部等列入“节能产品品目清单”、“环境标志产品品目清单”强制采购范围，而</w:t>
      </w:r>
      <w:r>
        <w:rPr>
          <w:rFonts w:eastAsia="方正仿宋_GBK"/>
          <w:bCs/>
          <w:color w:val="000000" w:themeColor="text1"/>
          <w:sz w:val="24"/>
          <w:szCs w:val="24"/>
          <w14:textFill>
            <w14:solidFill>
              <w14:schemeClr w14:val="tx1"/>
            </w14:solidFill>
          </w14:textFill>
        </w:rPr>
        <w:t>投标人</w:t>
      </w:r>
      <w:r>
        <w:rPr>
          <w:rFonts w:eastAsia="方正仿宋_GBK"/>
          <w:bCs/>
          <w:color w:val="000000" w:themeColor="text1"/>
          <w:sz w:val="24"/>
          <w:szCs w:val="24"/>
          <w:lang w:val="zh-CN"/>
          <w14:textFill>
            <w14:solidFill>
              <w14:schemeClr w14:val="tx1"/>
            </w14:solidFill>
          </w14:textFill>
        </w:rPr>
        <w:t>所</w:t>
      </w:r>
      <w:r>
        <w:rPr>
          <w:rFonts w:eastAsia="方正仿宋_GBK"/>
          <w:bCs/>
          <w:color w:val="000000" w:themeColor="text1"/>
          <w:sz w:val="24"/>
          <w:szCs w:val="24"/>
          <w14:textFill>
            <w14:solidFill>
              <w14:schemeClr w14:val="tx1"/>
            </w14:solidFill>
          </w14:textFill>
        </w:rPr>
        <w:t>投</w:t>
      </w:r>
      <w:r>
        <w:rPr>
          <w:rFonts w:eastAsia="方正仿宋_GBK"/>
          <w:bCs/>
          <w:color w:val="000000" w:themeColor="text1"/>
          <w:sz w:val="24"/>
          <w:szCs w:val="24"/>
          <w:lang w:val="zh-CN"/>
          <w14:textFill>
            <w14:solidFill>
              <w14:schemeClr w14:val="tx1"/>
            </w14:solidFill>
          </w14:textFill>
        </w:rPr>
        <w:t>产品不在强制采购范围内的。（</w:t>
      </w:r>
      <w:r>
        <w:rPr>
          <w:rFonts w:eastAsia="方正仿宋_GBK"/>
          <w:bCs/>
          <w:color w:val="000000" w:themeColor="text1"/>
          <w:sz w:val="24"/>
          <w:szCs w:val="24"/>
          <w14:textFill>
            <w14:solidFill>
              <w14:schemeClr w14:val="tx1"/>
            </w14:solidFill>
          </w14:textFill>
        </w:rPr>
        <w:t>所投</w:t>
      </w:r>
      <w:r>
        <w:rPr>
          <w:rFonts w:eastAsia="方正仿宋_GBK"/>
          <w:bCs/>
          <w:color w:val="000000" w:themeColor="text1"/>
          <w:sz w:val="24"/>
          <w:szCs w:val="24"/>
          <w:lang w:val="zh-CN"/>
          <w14:textFill>
            <w14:solidFill>
              <w14:schemeClr w14:val="tx1"/>
            </w14:solidFill>
          </w14:textFill>
        </w:rPr>
        <w:t>产品如属于政府强制采购节能产品品目清单范围内，</w:t>
      </w:r>
      <w:r>
        <w:rPr>
          <w:rFonts w:eastAsia="方正仿宋_GBK"/>
          <w:bCs/>
          <w:color w:val="000000" w:themeColor="text1"/>
          <w:sz w:val="24"/>
          <w:szCs w:val="24"/>
          <w14:textFill>
            <w14:solidFill>
              <w14:schemeClr w14:val="tx1"/>
            </w14:solidFill>
          </w14:textFill>
        </w:rPr>
        <w:t>投标</w:t>
      </w:r>
      <w:r>
        <w:rPr>
          <w:rFonts w:eastAsia="方正仿宋_GBK"/>
          <w:bCs/>
          <w:color w:val="000000" w:themeColor="text1"/>
          <w:sz w:val="24"/>
          <w:szCs w:val="24"/>
          <w:lang w:val="zh-CN"/>
          <w14:textFill>
            <w14:solidFill>
              <w14:schemeClr w14:val="tx1"/>
            </w14:solidFill>
          </w14:textFill>
        </w:rPr>
        <w:t>文件中必须提供国家确定的认证机构出具的、处于有效期之内的该节能产品认证证书图片）。</w:t>
      </w:r>
    </w:p>
    <w:p w14:paraId="5DC185D5">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27.1.12 投标文件未按照招标文件要求加盖CA电子公章的。</w:t>
      </w:r>
    </w:p>
    <w:p w14:paraId="682BC239">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27.1.13其他法律、法规及本招标文件规定的属无效投标的27.2废标条款</w:t>
      </w:r>
    </w:p>
    <w:p w14:paraId="1166A40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27.2.1符合专业条件的投标人或者对招标文件作实质响应的投标人不足三家的。</w:t>
      </w:r>
    </w:p>
    <w:p w14:paraId="0FF7D92A">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27.2.2出现影响采购公正的违法、违规行为的。</w:t>
      </w:r>
    </w:p>
    <w:p w14:paraId="62BAFBB2">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27.2.3因重大变故，采购任务取消的。</w:t>
      </w:r>
    </w:p>
    <w:p w14:paraId="67CD7D8F">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27.2.4评委会认定招标文件存在歧义、重大缺陷导致评审工作无法进行。</w:t>
      </w:r>
    </w:p>
    <w:p w14:paraId="4D73F79B">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27.2.5 因</w:t>
      </w:r>
      <w:r>
        <w:rPr>
          <w:rFonts w:eastAsia="方正仿宋_GBK"/>
          <w:color w:val="000000" w:themeColor="text1"/>
          <w:sz w:val="24"/>
          <w:szCs w:val="24"/>
          <w14:textFill>
            <w14:solidFill>
              <w14:schemeClr w14:val="tx1"/>
            </w14:solidFill>
          </w14:textFill>
        </w:rPr>
        <w:t>“苏采云”系统</w:t>
      </w:r>
      <w:r>
        <w:rPr>
          <w:rFonts w:eastAsia="方正仿宋_GBK"/>
          <w:bCs/>
          <w:color w:val="000000" w:themeColor="text1"/>
          <w:sz w:val="24"/>
          <w:szCs w:val="24"/>
          <w14:textFill>
            <w14:solidFill>
              <w14:schemeClr w14:val="tx1"/>
            </w14:solidFill>
          </w14:textFill>
        </w:rPr>
        <w:t>系统故障原因造成开标不成功的。</w:t>
      </w:r>
    </w:p>
    <w:p w14:paraId="3933855D">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27.3 投标截止时间结束后参加投标的投标人不足三家的处理：</w:t>
      </w:r>
    </w:p>
    <w:p w14:paraId="5D48F21A">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27.3.1如出现投标截止时间结束后参加投标的投标人或者在评标期间对招标文件做出实质响应的投标人不足三家情况，按政府采购相关规定执行。</w:t>
      </w:r>
    </w:p>
    <w:p w14:paraId="5B7663F1">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bookmarkStart w:id="178" w:name="_Toc120614219"/>
      <w:r>
        <w:rPr>
          <w:rFonts w:ascii="方正黑体_GBK" w:hAnsi="方正黑体_GBK" w:eastAsia="方正黑体_GBK" w:cs="方正黑体_GBK"/>
          <w:b w:val="0"/>
          <w:bCs w:val="0"/>
          <w:color w:val="000000" w:themeColor="text1"/>
          <w:sz w:val="24"/>
          <w:szCs w:val="24"/>
          <w14:textFill>
            <w14:solidFill>
              <w14:schemeClr w14:val="tx1"/>
            </w14:solidFill>
          </w14:textFill>
        </w:rPr>
        <w:t>六、</w:t>
      </w:r>
      <w:bookmarkEnd w:id="175"/>
      <w:bookmarkEnd w:id="176"/>
      <w:bookmarkEnd w:id="177"/>
      <w:r>
        <w:rPr>
          <w:rFonts w:ascii="方正黑体_GBK" w:hAnsi="方正黑体_GBK" w:eastAsia="方正黑体_GBK" w:cs="方正黑体_GBK"/>
          <w:b w:val="0"/>
          <w:bCs w:val="0"/>
          <w:color w:val="000000" w:themeColor="text1"/>
          <w:sz w:val="24"/>
          <w:szCs w:val="24"/>
          <w14:textFill>
            <w14:solidFill>
              <w14:schemeClr w14:val="tx1"/>
            </w14:solidFill>
          </w14:textFill>
        </w:rPr>
        <w:t>定标</w:t>
      </w:r>
      <w:bookmarkEnd w:id="178"/>
    </w:p>
    <w:p w14:paraId="5C3EDDD2">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bookmarkStart w:id="179" w:name="_Toc513029238"/>
      <w:bookmarkStart w:id="180" w:name="_Toc20823310"/>
      <w:bookmarkStart w:id="181" w:name="_Toc16938554"/>
      <w:r>
        <w:rPr>
          <w:rFonts w:ascii="Times New Roman" w:hAnsi="Times New Roman" w:eastAsia="方正黑体_GBK" w:cs="Times New Roman"/>
          <w:b w:val="0"/>
          <w:color w:val="000000" w:themeColor="text1"/>
          <w:sz w:val="24"/>
          <w:szCs w:val="24"/>
          <w14:textFill>
            <w14:solidFill>
              <w14:schemeClr w14:val="tx1"/>
            </w14:solidFill>
          </w14:textFill>
        </w:rPr>
        <w:t>28、</w:t>
      </w:r>
      <w:bookmarkEnd w:id="179"/>
      <w:r>
        <w:rPr>
          <w:rFonts w:ascii="Times New Roman" w:hAnsi="Times New Roman" w:eastAsia="方正黑体_GBK" w:cs="Times New Roman"/>
          <w:b w:val="0"/>
          <w:color w:val="000000" w:themeColor="text1"/>
          <w:sz w:val="24"/>
          <w:szCs w:val="24"/>
          <w14:textFill>
            <w14:solidFill>
              <w14:schemeClr w14:val="tx1"/>
            </w14:solidFill>
          </w14:textFill>
        </w:rPr>
        <w:t>确定</w:t>
      </w:r>
      <w:bookmarkEnd w:id="180"/>
      <w:bookmarkEnd w:id="181"/>
      <w:r>
        <w:rPr>
          <w:rFonts w:ascii="Times New Roman" w:hAnsi="Times New Roman" w:eastAsia="方正黑体_GBK" w:cs="Times New Roman"/>
          <w:b w:val="0"/>
          <w:color w:val="000000" w:themeColor="text1"/>
          <w:sz w:val="24"/>
          <w:szCs w:val="24"/>
          <w14:textFill>
            <w14:solidFill>
              <w14:schemeClr w14:val="tx1"/>
            </w14:solidFill>
          </w14:textFill>
        </w:rPr>
        <w:t>中标单位</w:t>
      </w:r>
    </w:p>
    <w:p w14:paraId="37B2136F">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28.1中标候选人的选取原则和数量见招标文件第五章规定。 </w:t>
      </w:r>
    </w:p>
    <w:p w14:paraId="509B5C9B">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2</w:t>
      </w:r>
      <w:r>
        <w:rPr>
          <w:rFonts w:eastAsia="方正仿宋_GBK"/>
          <w:bCs/>
          <w:color w:val="000000" w:themeColor="text1"/>
          <w:sz w:val="24"/>
          <w:szCs w:val="24"/>
          <w14:textFill>
            <w14:solidFill>
              <w14:schemeClr w14:val="tx1"/>
            </w14:solidFill>
          </w14:textFill>
        </w:rPr>
        <w:t>8</w:t>
      </w:r>
      <w:r>
        <w:rPr>
          <w:rFonts w:eastAsia="方正仿宋_GBK"/>
          <w:bCs/>
          <w:color w:val="000000" w:themeColor="text1"/>
          <w:sz w:val="24"/>
          <w:szCs w:val="24"/>
          <w:lang w:val="zh-CN"/>
          <w14:textFill>
            <w14:solidFill>
              <w14:schemeClr w14:val="tx1"/>
            </w14:solidFill>
          </w14:textFill>
        </w:rPr>
        <w:t>.2 按以下第</w:t>
      </w:r>
      <w:r>
        <w:rPr>
          <w:rFonts w:eastAsia="方正仿宋_GBK"/>
          <w:bCs/>
          <w:color w:val="000000" w:themeColor="text1"/>
          <w:sz w:val="24"/>
          <w:szCs w:val="24"/>
          <w:u w:val="single"/>
          <w:lang w:val="zh-CN"/>
          <w14:textFill>
            <w14:solidFill>
              <w14:schemeClr w14:val="tx1"/>
            </w14:solidFill>
          </w14:textFill>
        </w:rPr>
        <w:t>（</w:t>
      </w:r>
      <w:r>
        <w:rPr>
          <w:rFonts w:hint="eastAsia" w:eastAsia="方正仿宋_GBK"/>
          <w:bCs/>
          <w:color w:val="000000" w:themeColor="text1"/>
          <w:sz w:val="24"/>
          <w:szCs w:val="24"/>
          <w:u w:val="single"/>
          <w:lang w:val="en-US" w:eastAsia="zh-CN"/>
          <w14:textFill>
            <w14:solidFill>
              <w14:schemeClr w14:val="tx1"/>
            </w14:solidFill>
          </w14:textFill>
        </w:rPr>
        <w:t>2</w:t>
      </w:r>
      <w:r>
        <w:rPr>
          <w:rFonts w:eastAsia="方正仿宋_GBK"/>
          <w:bCs/>
          <w:color w:val="000000" w:themeColor="text1"/>
          <w:sz w:val="24"/>
          <w:szCs w:val="24"/>
          <w:u w:val="single"/>
          <w:lang w:val="zh-CN"/>
          <w14:textFill>
            <w14:solidFill>
              <w14:schemeClr w14:val="tx1"/>
            </w14:solidFill>
          </w14:textFill>
        </w:rPr>
        <w:t>）</w:t>
      </w:r>
      <w:r>
        <w:rPr>
          <w:rFonts w:eastAsia="方正仿宋_GBK"/>
          <w:bCs/>
          <w:color w:val="000000" w:themeColor="text1"/>
          <w:sz w:val="24"/>
          <w:szCs w:val="24"/>
          <w:lang w:val="zh-CN"/>
          <w14:textFill>
            <w14:solidFill>
              <w14:schemeClr w14:val="tx1"/>
            </w14:solidFill>
          </w14:textFill>
        </w:rPr>
        <w:t>种方式确定中标人</w:t>
      </w:r>
    </w:p>
    <w:p w14:paraId="30CD0FA3">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（1）评委会直接确定排名第一的中标候选人为中标人；</w:t>
      </w:r>
    </w:p>
    <w:p w14:paraId="143E391D">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（2）采购人在评委会推荐的中标候选人中按顺序确定中标人。</w:t>
      </w:r>
    </w:p>
    <w:p w14:paraId="6296AC3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按第</w:t>
      </w:r>
      <w:r>
        <w:rPr>
          <w:rFonts w:eastAsia="方正仿宋_GBK"/>
          <w:bCs/>
          <w:color w:val="000000" w:themeColor="text1"/>
          <w:sz w:val="24"/>
          <w:szCs w:val="24"/>
          <w14:textFill>
            <w14:solidFill>
              <w14:schemeClr w14:val="tx1"/>
            </w14:solidFill>
          </w14:textFill>
        </w:rPr>
        <w:t>2</w:t>
      </w:r>
      <w:r>
        <w:rPr>
          <w:rFonts w:eastAsia="方正仿宋_GBK"/>
          <w:bCs/>
          <w:color w:val="000000" w:themeColor="text1"/>
          <w:sz w:val="24"/>
          <w:szCs w:val="24"/>
          <w:lang w:val="zh-CN"/>
          <w14:textFill>
            <w14:solidFill>
              <w14:schemeClr w14:val="tx1"/>
            </w14:solidFill>
          </w14:textFill>
        </w:rPr>
        <w:t>种方式确定中标人的，</w:t>
      </w:r>
      <w:r>
        <w:rPr>
          <w:rFonts w:eastAsia="方正仿宋_GBK"/>
          <w:bCs/>
          <w:color w:val="000000" w:themeColor="text1"/>
          <w:sz w:val="24"/>
          <w:szCs w:val="24"/>
          <w14:textFill>
            <w14:solidFill>
              <w14:schemeClr w14:val="tx1"/>
            </w14:solidFill>
          </w14:textFill>
        </w:rPr>
        <w:t>采购代理机构</w:t>
      </w:r>
      <w:r>
        <w:rPr>
          <w:rFonts w:eastAsia="方正仿宋_GBK"/>
          <w:bCs/>
          <w:color w:val="000000" w:themeColor="text1"/>
          <w:sz w:val="24"/>
          <w:szCs w:val="24"/>
          <w:lang w:val="zh-CN"/>
          <w14:textFill>
            <w14:solidFill>
              <w14:schemeClr w14:val="tx1"/>
            </w14:solidFill>
          </w14:textFill>
        </w:rPr>
        <w:t>自评审结束之日起两个工作日内将评审报告送交采购人，采购人自收到评审报告之日起五个工作日内在评审报告推荐的中标候选人中按顺序确定中标人。</w:t>
      </w:r>
    </w:p>
    <w:p w14:paraId="3DABEF7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 xml:space="preserve">28.3 </w:t>
      </w:r>
      <w:r>
        <w:rPr>
          <w:rFonts w:eastAsia="方正仿宋_GBK"/>
          <w:color w:val="000000" w:themeColor="text1"/>
          <w:sz w:val="24"/>
          <w:szCs w:val="24"/>
          <w14:textFill>
            <w14:solidFill>
              <w14:schemeClr w14:val="tx1"/>
            </w14:solidFill>
          </w14:textFill>
        </w:rPr>
        <w:t>采购代理机构将在“宿迁市政府采购网”发布中标公告，公告期限为1个工作日。</w:t>
      </w:r>
    </w:p>
    <w:p w14:paraId="384174E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  若有充分证据证明，中标人出现下列情况之一的，一经查实，将被取消中标资格：</w:t>
      </w:r>
    </w:p>
    <w:p w14:paraId="35040B0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28.4.1提供虚假材料谋取中标的。</w:t>
      </w:r>
    </w:p>
    <w:p w14:paraId="064408F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28.4.2向采购人、采购代理机构行贿或者提供其他不正当利益的。</w:t>
      </w:r>
    </w:p>
    <w:p w14:paraId="64C3650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28.4.3属于本文件规定的无效条件，但在评标过程中又未被评委会发现的。</w:t>
      </w:r>
    </w:p>
    <w:p w14:paraId="7315BE6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28.4.4与采购人或者其他投标人恶意串通的。</w:t>
      </w:r>
    </w:p>
    <w:p w14:paraId="151580C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28.4.5采取不正当手段诋毁、排挤其他投标人的。</w:t>
      </w:r>
    </w:p>
    <w:p w14:paraId="41027259">
      <w:pPr>
        <w:spacing w:line="480" w:lineRule="exact"/>
        <w:ind w:firstLine="480" w:firstLineChars="200"/>
        <w:rPr>
          <w:rFonts w:eastAsia="方正仿宋_GBK"/>
          <w:color w:val="000000" w:themeColor="text1"/>
          <w:sz w:val="24"/>
          <w:szCs w:val="24"/>
          <w14:textFill>
            <w14:solidFill>
              <w14:schemeClr w14:val="tx1"/>
            </w14:solidFill>
          </w14:textFill>
        </w:rPr>
      </w:pPr>
      <w:bookmarkStart w:id="182" w:name="_Toc200451960"/>
      <w:r>
        <w:rPr>
          <w:rFonts w:eastAsia="方正仿宋_GBK"/>
          <w:color w:val="000000" w:themeColor="text1"/>
          <w:sz w:val="24"/>
          <w:szCs w:val="24"/>
          <w14:textFill>
            <w14:solidFill>
              <w14:schemeClr w14:val="tx1"/>
            </w14:solidFill>
          </w14:textFill>
        </w:rPr>
        <w:t>28.5 有下列情形之一的，视为投标人串通投标，投标无效：</w:t>
      </w:r>
    </w:p>
    <w:p w14:paraId="4851B72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28.5.1不同投标人的投标文件由同一单位或者个人编制。</w:t>
      </w:r>
    </w:p>
    <w:p w14:paraId="7A3EA7D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28.5.2不同投标人委托同一单位或者个人办理投标事宜。</w:t>
      </w:r>
    </w:p>
    <w:p w14:paraId="17ABF9B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28.5.3 不同投标人的投标文件载明的项目管理成员或者联系人员为同一人。</w:t>
      </w:r>
    </w:p>
    <w:p w14:paraId="77040AB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28.5.4不同投标人的投标文件异常一致或者投标报价呈规律性差异。</w:t>
      </w:r>
    </w:p>
    <w:p w14:paraId="1DF10BD6">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r>
        <w:rPr>
          <w:rFonts w:ascii="Times New Roman" w:hAnsi="Times New Roman" w:eastAsia="方正黑体_GBK" w:cs="Times New Roman"/>
          <w:b w:val="0"/>
          <w:color w:val="000000" w:themeColor="text1"/>
          <w:sz w:val="24"/>
          <w:szCs w:val="24"/>
          <w14:textFill>
            <w14:solidFill>
              <w14:schemeClr w14:val="tx1"/>
            </w14:solidFill>
          </w14:textFill>
        </w:rPr>
        <w:t>29、质疑处理</w:t>
      </w:r>
      <w:bookmarkEnd w:id="182"/>
    </w:p>
    <w:p w14:paraId="7CE6E85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29.1 提出质疑的投标人应当是参与所质疑项目采购活动的投标人。潜在投标人依法获取其可质疑的采购文件的，可以对采购文件提出质疑。</w:t>
      </w:r>
    </w:p>
    <w:p w14:paraId="3660126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29.2投标人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2B1767B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29.2.1对可以质疑的采购文件提出质疑的，为收到采购文件之日或者采购文件公告期限届满之日；</w:t>
      </w:r>
    </w:p>
    <w:p w14:paraId="420F23B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29.2.2对采购过程提出质疑的，为各采购程序环节结束之日；</w:t>
      </w:r>
    </w:p>
    <w:p w14:paraId="6BC18BB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29.2.3对中标或者成交结果提出质疑的，为中标或者成交结果公告期限届满之日。</w:t>
      </w:r>
    </w:p>
    <w:p w14:paraId="47F9C99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投标人应当在法定质疑期内一次性提出针对同一采购程序环节的质疑。投标人如在法定期限内对同一采购程序环节提出多次质疑的，采购代理机构、采购人将只对投标人第一次质疑作出答复。</w:t>
      </w:r>
    </w:p>
    <w:p w14:paraId="4C05751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29.3质疑函必须按照本招标文件中《质疑函范本》要求的格式和内容进行填写。投标人如组成联合体参加投标，则《质疑函范本》中要求签字、盖章、加盖公章之处，联合体各方均须按要求签字、盖章、加盖公章。</w:t>
      </w:r>
    </w:p>
    <w:p w14:paraId="412F768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29.4 投标人应以书面形式向采购人或者其委托的采购代理机构提出质疑。质疑超出采购机构代理范围的，投标人应当向采购人提出。</w:t>
      </w:r>
    </w:p>
    <w:p w14:paraId="11CB4CF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接收质疑函的方式：现场接收或邮寄接收。</w:t>
      </w:r>
    </w:p>
    <w:p w14:paraId="023BCFE7">
      <w:pPr>
        <w:spacing w:line="480" w:lineRule="exact"/>
        <w:ind w:firstLine="480" w:firstLineChars="200"/>
        <w:rPr>
          <w:rFonts w:eastAsia="方正仿宋_GBK"/>
          <w:color w:val="000000" w:themeColor="text1"/>
          <w:sz w:val="24"/>
          <w:szCs w:val="24"/>
          <w:u w:val="single"/>
          <w14:textFill>
            <w14:solidFill>
              <w14:schemeClr w14:val="tx1"/>
            </w14:solidFill>
          </w14:textFill>
        </w:rPr>
      </w:pPr>
      <w:r>
        <w:rPr>
          <w:rFonts w:eastAsia="方正仿宋_GBK"/>
          <w:color w:val="000000" w:themeColor="text1"/>
          <w:sz w:val="24"/>
          <w:szCs w:val="24"/>
          <w14:textFill>
            <w14:solidFill>
              <w14:schemeClr w14:val="tx1"/>
            </w14:solidFill>
          </w14:textFill>
        </w:rPr>
        <w:t>联系部门：</w:t>
      </w:r>
      <w:r>
        <w:rPr>
          <w:rFonts w:eastAsia="方正仿宋_GBK"/>
          <w:color w:val="000000" w:themeColor="text1"/>
          <w:sz w:val="24"/>
          <w:szCs w:val="24"/>
          <w:u w:val="single"/>
          <w14:textFill>
            <w14:solidFill>
              <w14:schemeClr w14:val="tx1"/>
            </w14:solidFill>
          </w14:textFill>
        </w:rPr>
        <w:t>宿迁市住房和城乡建设局/江苏四维工程咨询管理有限公司</w:t>
      </w:r>
    </w:p>
    <w:p w14:paraId="195C5BF1">
      <w:pPr>
        <w:spacing w:line="480" w:lineRule="exact"/>
        <w:ind w:firstLine="480" w:firstLineChars="200"/>
        <w:rPr>
          <w:rFonts w:eastAsia="方正仿宋_GBK"/>
          <w:color w:val="000000" w:themeColor="text1"/>
          <w:sz w:val="24"/>
          <w:szCs w:val="24"/>
          <w:u w:val="single"/>
          <w14:textFill>
            <w14:solidFill>
              <w14:schemeClr w14:val="tx1"/>
            </w14:solidFill>
          </w14:textFill>
        </w:rPr>
      </w:pPr>
      <w:r>
        <w:rPr>
          <w:rFonts w:eastAsia="方正仿宋_GBK"/>
          <w:color w:val="000000" w:themeColor="text1"/>
          <w:sz w:val="24"/>
          <w:szCs w:val="24"/>
          <w14:textFill>
            <w14:solidFill>
              <w14:schemeClr w14:val="tx1"/>
            </w14:solidFill>
          </w14:textFill>
        </w:rPr>
        <w:t>联系电话：</w:t>
      </w:r>
      <w:r>
        <w:rPr>
          <w:rFonts w:eastAsia="方正仿宋_GBK"/>
          <w:color w:val="000000" w:themeColor="text1"/>
          <w:sz w:val="24"/>
          <w:szCs w:val="24"/>
          <w:u w:val="single"/>
          <w14:textFill>
            <w14:solidFill>
              <w14:schemeClr w14:val="tx1"/>
            </w14:solidFill>
          </w14:textFill>
        </w:rPr>
        <w:t>蔡丹15851160058 /高蕊18360041180</w:t>
      </w:r>
    </w:p>
    <w:p w14:paraId="1146EA38">
      <w:pPr>
        <w:spacing w:line="480" w:lineRule="exact"/>
        <w:ind w:firstLine="480" w:firstLineChars="200"/>
        <w:rPr>
          <w:rFonts w:eastAsia="方正仿宋_GBK"/>
          <w:color w:val="000000" w:themeColor="text1"/>
          <w:sz w:val="24"/>
          <w:szCs w:val="24"/>
          <w:u w:val="single"/>
          <w14:textFill>
            <w14:solidFill>
              <w14:schemeClr w14:val="tx1"/>
            </w14:solidFill>
          </w14:textFill>
        </w:rPr>
      </w:pPr>
      <w:r>
        <w:rPr>
          <w:rFonts w:eastAsia="方正仿宋_GBK"/>
          <w:color w:val="000000" w:themeColor="text1"/>
          <w:sz w:val="24"/>
          <w:szCs w:val="24"/>
          <w14:textFill>
            <w14:solidFill>
              <w14:schemeClr w14:val="tx1"/>
            </w14:solidFill>
          </w14:textFill>
        </w:rPr>
        <w:t>通讯地址：</w:t>
      </w:r>
      <w:r>
        <w:rPr>
          <w:rFonts w:eastAsia="方正仿宋_GBK"/>
          <w:color w:val="000000" w:themeColor="text1"/>
          <w:sz w:val="24"/>
          <w:szCs w:val="24"/>
          <w:u w:val="single"/>
          <w14:textFill>
            <w14:solidFill>
              <w14:schemeClr w14:val="tx1"/>
            </w14:solidFill>
          </w14:textFill>
        </w:rPr>
        <w:t>宿迁市洪泽湖路793号建设大厦/宿迁经济技术开发区西湖上城西门</w:t>
      </w:r>
    </w:p>
    <w:p w14:paraId="3FE2589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 以下情形的质疑不予受理</w:t>
      </w:r>
    </w:p>
    <w:p w14:paraId="485319C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29.5.1 内容不符合《政府采购质疑和投诉办法》第十二条规定的质疑。</w:t>
      </w:r>
    </w:p>
    <w:p w14:paraId="0E1825E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29.5.2 超出政府采购法定期限的质疑。</w:t>
      </w:r>
    </w:p>
    <w:p w14:paraId="1BBAFD8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29.5.3 以传真、电子邮件等方式递交的非原件形式的质疑。</w:t>
      </w:r>
    </w:p>
    <w:p w14:paraId="3B7A9E5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29.5.4 未参加投标活动的投标人或在投标活动中自身权益未受到损害的投标人所提出的质疑。</w:t>
      </w:r>
    </w:p>
    <w:p w14:paraId="3B00C83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29.5.5投标人组成联合体参加投标，联合体中任何一方或多方未按要求签字、盖章、加盖公章的质疑。</w:t>
      </w:r>
    </w:p>
    <w:p w14:paraId="2DD1BEC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29.6  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5DDC96E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29.7  质疑</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对采购人、采购代理机构的答复不满意，或者采购人、采购代理机构未在规定时间内作出答复的，可以在答复期满后15个工作日内向同级财政部门提起投诉。</w:t>
      </w:r>
    </w:p>
    <w:p w14:paraId="1219347D">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r>
        <w:rPr>
          <w:rFonts w:ascii="Times New Roman" w:hAnsi="Times New Roman" w:eastAsia="方正黑体_GBK" w:cs="Times New Roman"/>
          <w:b w:val="0"/>
          <w:color w:val="000000" w:themeColor="text1"/>
          <w:sz w:val="24"/>
          <w:szCs w:val="24"/>
          <w14:textFill>
            <w14:solidFill>
              <w14:schemeClr w14:val="tx1"/>
            </w14:solidFill>
          </w14:textFill>
        </w:rPr>
        <w:t>30、中标通知书</w:t>
      </w:r>
    </w:p>
    <w:p w14:paraId="08E93E69">
      <w:pPr>
        <w:spacing w:line="480" w:lineRule="exact"/>
        <w:ind w:firstLine="480" w:firstLineChars="200"/>
        <w:rPr>
          <w:rFonts w:eastAsia="方正仿宋_GBK"/>
          <w:color w:val="000000" w:themeColor="text1"/>
          <w:sz w:val="24"/>
          <w:szCs w:val="24"/>
          <w14:textFill>
            <w14:solidFill>
              <w14:schemeClr w14:val="tx1"/>
            </w14:solidFill>
          </w14:textFill>
        </w:rPr>
      </w:pPr>
      <w:bookmarkStart w:id="183" w:name="_Toc120614220"/>
      <w:bookmarkStart w:id="184" w:name="_Toc513029236"/>
      <w:bookmarkStart w:id="185" w:name="_Toc16938552"/>
      <w:bookmarkStart w:id="186" w:name="_Toc20823308"/>
      <w:r>
        <w:rPr>
          <w:rFonts w:eastAsia="方正仿宋_GBK"/>
          <w:color w:val="000000" w:themeColor="text1"/>
          <w:sz w:val="24"/>
          <w:szCs w:val="24"/>
          <w14:textFill>
            <w14:solidFill>
              <w14:schemeClr w14:val="tx1"/>
            </w14:solidFill>
          </w14:textFill>
        </w:rPr>
        <w:t>30.l中标结果确定后，代理机构将向中标人发出中标通知书。请中标人使用CA数字证书登录“苏采云系统”及时下载中标通知书。中标</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可自行下载打印《中标通知书》，《中标通知书》将作为授予合同资格的唯一合法依据。</w:t>
      </w:r>
    </w:p>
    <w:p w14:paraId="59A527A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30.2中标通知书将是合同的一个组成部分。对采购人和中标人均具有法律效力。中标通知书发出后，采购人改变中标结果的，或者中标人放弃中标项目的，应当依法承担法律责任。</w:t>
      </w:r>
    </w:p>
    <w:p w14:paraId="20A0E81A">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七、授予合同</w:t>
      </w:r>
      <w:bookmarkEnd w:id="183"/>
    </w:p>
    <w:bookmarkEnd w:id="184"/>
    <w:bookmarkEnd w:id="185"/>
    <w:bookmarkEnd w:id="186"/>
    <w:p w14:paraId="505863A7">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bookmarkStart w:id="187" w:name="_Toc513029237"/>
      <w:bookmarkStart w:id="188" w:name="_Toc20823309"/>
      <w:bookmarkStart w:id="189" w:name="_Toc16938553"/>
      <w:r>
        <w:rPr>
          <w:rFonts w:ascii="Times New Roman" w:hAnsi="Times New Roman" w:eastAsia="方正黑体_GBK" w:cs="Times New Roman"/>
          <w:b w:val="0"/>
          <w:color w:val="000000" w:themeColor="text1"/>
          <w:sz w:val="24"/>
          <w:szCs w:val="24"/>
          <w14:textFill>
            <w14:solidFill>
              <w14:schemeClr w14:val="tx1"/>
            </w14:solidFill>
          </w14:textFill>
        </w:rPr>
        <w:t>31. 签订合同</w:t>
      </w:r>
    </w:p>
    <w:p w14:paraId="00DFA119">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14:textFill>
            <w14:solidFill>
              <w14:schemeClr w14:val="tx1"/>
            </w14:solidFill>
          </w14:textFill>
        </w:rPr>
        <w:t>31</w:t>
      </w:r>
      <w:r>
        <w:rPr>
          <w:rFonts w:eastAsia="方正仿宋_GBK"/>
          <w:color w:val="000000" w:themeColor="text1"/>
          <w:sz w:val="24"/>
          <w:szCs w:val="24"/>
          <w14:textFill>
            <w14:solidFill>
              <w14:schemeClr w14:val="tx1"/>
            </w14:solidFill>
          </w14:textFill>
        </w:rPr>
        <w:t>.l中标人应当在中标通知书发出之日起15日内，按照招标文件确定的事项与采购人签订政府采购合同。</w:t>
      </w:r>
      <w:r>
        <w:rPr>
          <w:rFonts w:eastAsia="方正仿宋_GBK"/>
          <w:bCs/>
          <w:color w:val="000000" w:themeColor="text1"/>
          <w:sz w:val="24"/>
          <w:szCs w:val="24"/>
          <w:lang w:val="zh-CN"/>
          <w14:textFill>
            <w14:solidFill>
              <w14:schemeClr w14:val="tx1"/>
            </w14:solidFill>
          </w14:textFill>
        </w:rPr>
        <w:t>并在签订之日起2个工作日内将政府采购合同在指定的媒体上公告，但政府采购合同中涉及国家秘密、商业秘密的内容除外</w:t>
      </w:r>
    </w:p>
    <w:p w14:paraId="43C7293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31.2招标文件、中标人的投标文件及招标过程中有关澄清、承诺文件均应作为合同附件。</w:t>
      </w:r>
    </w:p>
    <w:p w14:paraId="358EFCE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31.4本项目的非主体、非关键性工作是否允许分包按以下第</w:t>
      </w:r>
      <w:r>
        <w:rPr>
          <w:rFonts w:eastAsia="方正仿宋_GBK"/>
          <w:color w:val="000000" w:themeColor="text1"/>
          <w:sz w:val="24"/>
          <w:szCs w:val="24"/>
          <w:u w:val="single"/>
          <w14:textFill>
            <w14:solidFill>
              <w14:schemeClr w14:val="tx1"/>
            </w14:solidFill>
          </w14:textFill>
        </w:rPr>
        <w:t>2</w:t>
      </w:r>
      <w:r>
        <w:rPr>
          <w:rFonts w:eastAsia="方正仿宋_GBK"/>
          <w:color w:val="000000" w:themeColor="text1"/>
          <w:sz w:val="24"/>
          <w:szCs w:val="24"/>
          <w14:textFill>
            <w14:solidFill>
              <w14:schemeClr w14:val="tx1"/>
            </w14:solidFill>
          </w14:textFill>
        </w:rPr>
        <w:t>种方式确定：</w:t>
      </w:r>
    </w:p>
    <w:p w14:paraId="1123C71C">
      <w:pPr>
        <w:spacing w:line="480" w:lineRule="exact"/>
        <w:ind w:firstLine="480" w:firstLineChars="200"/>
        <w:rPr>
          <w:rFonts w:eastAsia="方正仿宋_GBK"/>
          <w:color w:val="000000" w:themeColor="text1"/>
          <w:sz w:val="24"/>
          <w:szCs w:val="24"/>
          <w:u w:val="single"/>
          <w14:textFill>
            <w14:solidFill>
              <w14:schemeClr w14:val="tx1"/>
            </w14:solidFill>
          </w14:textFill>
        </w:rPr>
      </w:pPr>
      <w:r>
        <w:rPr>
          <w:rFonts w:eastAsia="方正仿宋_GBK"/>
          <w:color w:val="000000" w:themeColor="text1"/>
          <w:sz w:val="24"/>
          <w:szCs w:val="24"/>
          <w14:textFill>
            <w14:solidFill>
              <w14:schemeClr w14:val="tx1"/>
            </w14:solidFill>
          </w14:textFill>
        </w:rPr>
        <w:t>1.允许分包，允许大中型企业向一家或者多家小微企业分包，分包具体内容、金额或比例：</w:t>
      </w:r>
      <w:r>
        <w:rPr>
          <w:rFonts w:eastAsia="方正仿宋_GBK"/>
          <w:color w:val="000000" w:themeColor="text1"/>
          <w:sz w:val="24"/>
          <w:szCs w:val="24"/>
          <w:u w:val="single"/>
          <w14:textFill>
            <w14:solidFill>
              <w14:schemeClr w14:val="tx1"/>
            </w14:solidFill>
          </w14:textFill>
        </w:rPr>
        <w:t>/</w:t>
      </w:r>
      <w:r>
        <w:rPr>
          <w:rFonts w:eastAsia="方正仿宋_GBK"/>
          <w:color w:val="000000" w:themeColor="text1"/>
          <w:sz w:val="24"/>
          <w:szCs w:val="24"/>
          <w14:textFill>
            <w14:solidFill>
              <w14:schemeClr w14:val="tx1"/>
            </w14:solidFill>
          </w14:textFill>
        </w:rPr>
        <w:t>；</w:t>
      </w:r>
    </w:p>
    <w:p w14:paraId="54BCE4B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2.不允许分包。未经采购人同意，中标人也不得采用分包形式履行合同,否则采购人有权终止合同。转包或分包造成采购人损失的，中标人应承担相应赔偿责任。</w:t>
      </w:r>
    </w:p>
    <w:p w14:paraId="3A104B85">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31.4履约保证金</w:t>
      </w:r>
    </w:p>
    <w:p w14:paraId="607F47BD">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按照以下第</w:t>
      </w:r>
      <w:r>
        <w:rPr>
          <w:rFonts w:eastAsia="方正仿宋_GBK"/>
          <w:bCs/>
          <w:color w:val="000000" w:themeColor="text1"/>
          <w:sz w:val="24"/>
          <w:szCs w:val="24"/>
          <w:u w:val="single"/>
          <w14:textFill>
            <w14:solidFill>
              <w14:schemeClr w14:val="tx1"/>
            </w14:solidFill>
          </w14:textFill>
        </w:rPr>
        <w:t xml:space="preserve">  1  </w:t>
      </w:r>
      <w:r>
        <w:rPr>
          <w:rFonts w:eastAsia="方正仿宋_GBK"/>
          <w:bCs/>
          <w:color w:val="000000" w:themeColor="text1"/>
          <w:sz w:val="24"/>
          <w:szCs w:val="24"/>
          <w:lang w:val="zh-CN"/>
          <w14:textFill>
            <w14:solidFill>
              <w14:schemeClr w14:val="tx1"/>
            </w14:solidFill>
          </w14:textFill>
        </w:rPr>
        <w:t>方式确定履约保证收取方式。</w:t>
      </w:r>
    </w:p>
    <w:p w14:paraId="1F5D4565">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hint="eastAsia" w:eastAsia="方正仿宋_GBK"/>
          <w:bCs/>
          <w:color w:val="000000" w:themeColor="text1"/>
          <w:sz w:val="24"/>
          <w:szCs w:val="24"/>
          <w:lang w:val="zh-CN"/>
          <w14:textFill>
            <w14:solidFill>
              <w14:schemeClr w14:val="tx1"/>
            </w14:solidFill>
          </w14:textFill>
        </w:rPr>
        <w:t>（</w:t>
      </w:r>
      <w:r>
        <w:rPr>
          <w:rFonts w:eastAsia="方正仿宋_GBK"/>
          <w:bCs/>
          <w:color w:val="000000" w:themeColor="text1"/>
          <w:sz w:val="24"/>
          <w:szCs w:val="24"/>
          <w:lang w:val="zh-CN"/>
          <w14:textFill>
            <w14:solidFill>
              <w14:schemeClr w14:val="tx1"/>
            </w14:solidFill>
          </w14:textFill>
        </w:rPr>
        <w:t>1</w:t>
      </w:r>
      <w:r>
        <w:rPr>
          <w:rFonts w:hint="eastAsia" w:eastAsia="方正仿宋_GBK"/>
          <w:bCs/>
          <w:color w:val="000000" w:themeColor="text1"/>
          <w:sz w:val="24"/>
          <w:szCs w:val="24"/>
          <w:lang w:val="zh-CN"/>
          <w14:textFill>
            <w14:solidFill>
              <w14:schemeClr w14:val="tx1"/>
            </w14:solidFill>
          </w14:textFill>
        </w:rPr>
        <w:t>）</w:t>
      </w:r>
      <w:r>
        <w:rPr>
          <w:rFonts w:eastAsia="方正仿宋_GBK"/>
          <w:bCs/>
          <w:color w:val="000000" w:themeColor="text1"/>
          <w:sz w:val="24"/>
          <w:szCs w:val="24"/>
          <w:lang w:val="zh-CN"/>
          <w14:textFill>
            <w14:solidFill>
              <w14:schemeClr w14:val="tx1"/>
            </w14:solidFill>
          </w14:textFill>
        </w:rPr>
        <w:t>不收取履约保证金。</w:t>
      </w:r>
    </w:p>
    <w:p w14:paraId="5ABD26A3">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hint="eastAsia" w:eastAsia="方正仿宋_GBK"/>
          <w:bCs/>
          <w:color w:val="000000" w:themeColor="text1"/>
          <w:sz w:val="24"/>
          <w:szCs w:val="24"/>
          <w:lang w:val="zh-CN"/>
          <w14:textFill>
            <w14:solidFill>
              <w14:schemeClr w14:val="tx1"/>
            </w14:solidFill>
          </w14:textFill>
        </w:rPr>
        <w:t>（</w:t>
      </w:r>
      <w:r>
        <w:rPr>
          <w:rFonts w:eastAsia="方正仿宋_GBK"/>
          <w:bCs/>
          <w:color w:val="000000" w:themeColor="text1"/>
          <w:sz w:val="24"/>
          <w:szCs w:val="24"/>
          <w:lang w:val="zh-CN"/>
          <w14:textFill>
            <w14:solidFill>
              <w14:schemeClr w14:val="tx1"/>
            </w14:solidFill>
          </w14:textFill>
        </w:rPr>
        <w:t>2</w:t>
      </w:r>
      <w:r>
        <w:rPr>
          <w:rFonts w:hint="eastAsia" w:eastAsia="方正仿宋_GBK"/>
          <w:bCs/>
          <w:color w:val="000000" w:themeColor="text1"/>
          <w:sz w:val="24"/>
          <w:szCs w:val="24"/>
          <w:lang w:val="zh-CN"/>
          <w14:textFill>
            <w14:solidFill>
              <w14:schemeClr w14:val="tx1"/>
            </w14:solidFill>
          </w14:textFill>
        </w:rPr>
        <w:t>）</w:t>
      </w:r>
      <w:r>
        <w:rPr>
          <w:rFonts w:eastAsia="方正仿宋_GBK"/>
          <w:bCs/>
          <w:color w:val="000000" w:themeColor="text1"/>
          <w:sz w:val="24"/>
          <w:szCs w:val="24"/>
          <w:lang w:val="zh-CN"/>
          <w14:textFill>
            <w14:solidFill>
              <w14:schemeClr w14:val="tx1"/>
            </w14:solidFill>
          </w14:textFill>
        </w:rPr>
        <w:t>履约保证金应在采购合同签订前提交，履约保证金的金额：</w:t>
      </w:r>
      <w:r>
        <w:rPr>
          <w:rFonts w:eastAsia="方正仿宋_GBK"/>
          <w:bCs/>
          <w:color w:val="000000" w:themeColor="text1"/>
          <w:sz w:val="24"/>
          <w:szCs w:val="24"/>
          <w:u w:val="single"/>
          <w14:textFill>
            <w14:solidFill>
              <w14:schemeClr w14:val="tx1"/>
            </w14:solidFill>
          </w14:textFill>
        </w:rPr>
        <w:t xml:space="preserve"> / ，</w:t>
      </w:r>
      <w:r>
        <w:rPr>
          <w:rFonts w:eastAsia="方正仿宋_GBK"/>
          <w:bCs/>
          <w:color w:val="000000" w:themeColor="text1"/>
          <w:sz w:val="24"/>
          <w:szCs w:val="24"/>
          <w:lang w:val="zh-CN"/>
          <w14:textFill>
            <w14:solidFill>
              <w14:schemeClr w14:val="tx1"/>
            </w14:solidFill>
          </w14:textFill>
        </w:rPr>
        <w:t>按采购合同总价的</w:t>
      </w:r>
      <w:r>
        <w:rPr>
          <w:rFonts w:eastAsia="方正仿宋_GBK"/>
          <w:bCs/>
          <w:color w:val="000000" w:themeColor="text1"/>
          <w:sz w:val="24"/>
          <w:szCs w:val="24"/>
          <w:u w:val="single"/>
          <w14:textFill>
            <w14:solidFill>
              <w14:schemeClr w14:val="tx1"/>
            </w14:solidFill>
          </w14:textFill>
        </w:rPr>
        <w:t xml:space="preserve">  / </w:t>
      </w:r>
      <w:r>
        <w:rPr>
          <w:rFonts w:eastAsia="方正仿宋_GBK"/>
          <w:bCs/>
          <w:color w:val="000000" w:themeColor="text1"/>
          <w:sz w:val="24"/>
          <w:szCs w:val="24"/>
          <w:lang w:val="zh-CN"/>
          <w14:textFill>
            <w14:solidFill>
              <w14:schemeClr w14:val="tx1"/>
            </w14:solidFill>
          </w14:textFill>
        </w:rPr>
        <w:t>%计取。除银行电汇、网上银行、数字人民币外，投标人还可选用银行保函、担保公司的保证担保或保险公司的保证保险、等多种形式向采购人缴纳；</w:t>
      </w:r>
    </w:p>
    <w:p w14:paraId="0C074171">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履约保证金退还的方式：以银行电汇、网上银行、数字人民币形式缴纳履约保证金的，退回至投标人存款账户或投标人数字人民币账户；以保函、担保、保险等形式缴纳履约保证金的，在保函、担保、保险约定的保证期限届满之日起自行失效；</w:t>
      </w:r>
    </w:p>
    <w:p w14:paraId="1C538CC3">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履约保证金退还的条件：按以下方式实行：</w:t>
      </w:r>
    </w:p>
    <w:p w14:paraId="1EE9FCED">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货物类项目，项目验收合格，出具验收报告及履约保证金收据申请退付；</w:t>
      </w:r>
    </w:p>
    <w:p w14:paraId="05447544">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履约保证金退还时间：采购单位收到投标人退付申请后5个工作日内退还；</w:t>
      </w:r>
    </w:p>
    <w:p w14:paraId="3E99C19F">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履约保证金不予退还情形：除不可抗力外，投标人不履行与采购人订立的采购合同的，履约保证金不予退还，给采购人造成的损失超过履约保证金数额的，还应当对超过部分予以赔偿；</w:t>
      </w:r>
    </w:p>
    <w:p w14:paraId="48AF82A7">
      <w:pPr>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lang w:val="zh-CN"/>
          <w14:textFill>
            <w14:solidFill>
              <w14:schemeClr w14:val="tx1"/>
            </w14:solidFill>
          </w14:textFill>
        </w:rPr>
        <w:t>逾期退还履约保证金的违约责任：除应当退还履约保证金外，还应当按中国人民银行同期贷款基准利率上浮 20％后的利率支付超期资金占用费，但因投标人自身原因导致无法及时退还的除外。</w:t>
      </w:r>
    </w:p>
    <w:p w14:paraId="4E87D2D2">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本项目支持和鼓励</w:t>
      </w:r>
      <w:r>
        <w:rPr>
          <w:rFonts w:hint="eastAsia" w:eastAsia="方正仿宋_GBK"/>
          <w:bCs/>
          <w:color w:val="000000" w:themeColor="text1"/>
          <w:sz w:val="24"/>
          <w:szCs w:val="24"/>
          <w:lang w:eastAsia="zh-CN"/>
          <w14:textFill>
            <w14:solidFill>
              <w14:schemeClr w14:val="tx1"/>
            </w14:solidFill>
          </w14:textFill>
        </w:rPr>
        <w:t>投标人</w:t>
      </w:r>
      <w:r>
        <w:rPr>
          <w:rFonts w:eastAsia="方正仿宋_GBK"/>
          <w:bCs/>
          <w:color w:val="000000" w:themeColor="text1"/>
          <w:sz w:val="24"/>
          <w:szCs w:val="24"/>
          <w14:textFill>
            <w14:solidFill>
              <w14:schemeClr w14:val="tx1"/>
            </w14:solidFill>
          </w14:textFill>
        </w:rPr>
        <w:t>使用江苏政府采购电子履约保函（保险）代替缴纳履约保证金。关于办理流程、偿付等内容详见江苏省政府采购网《关于在全省政府采购领域推行电子履约保函</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保险</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 xml:space="preserve"> 的通知》 </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苏财购﹝2023﹞150号</w:t>
      </w:r>
      <w:r>
        <w:rPr>
          <w:rFonts w:hint="eastAsia" w:eastAsia="方正仿宋_GBK"/>
          <w:bCs/>
          <w:color w:val="000000" w:themeColor="text1"/>
          <w:sz w:val="24"/>
          <w:szCs w:val="24"/>
          <w14:textFill>
            <w14:solidFill>
              <w14:schemeClr w14:val="tx1"/>
            </w14:solidFill>
          </w14:textFill>
        </w:rPr>
        <w:t>）</w:t>
      </w:r>
      <w:r>
        <w:rPr>
          <w:rFonts w:eastAsia="方正仿宋_GBK"/>
          <w:bCs/>
          <w:color w:val="000000" w:themeColor="text1"/>
          <w:sz w:val="24"/>
          <w:szCs w:val="24"/>
          <w14:textFill>
            <w14:solidFill>
              <w14:schemeClr w14:val="tx1"/>
            </w14:solidFill>
          </w14:textFill>
        </w:rPr>
        <w:t>。</w:t>
      </w:r>
    </w:p>
    <w:p w14:paraId="39566D1B">
      <w:pPr>
        <w:spacing w:line="480" w:lineRule="exact"/>
        <w:ind w:firstLine="480" w:firstLineChars="200"/>
        <w:outlineLvl w:val="3"/>
        <w:rPr>
          <w:rFonts w:eastAsia="方正黑体_GBK"/>
          <w:bCs/>
          <w:color w:val="000000" w:themeColor="text1"/>
          <w:sz w:val="24"/>
          <w:szCs w:val="24"/>
          <w14:textFill>
            <w14:solidFill>
              <w14:schemeClr w14:val="tx1"/>
            </w14:solidFill>
          </w14:textFill>
        </w:rPr>
      </w:pPr>
      <w:r>
        <w:rPr>
          <w:rFonts w:eastAsia="方正黑体_GBK"/>
          <w:bCs/>
          <w:color w:val="000000" w:themeColor="text1"/>
          <w:sz w:val="24"/>
          <w:szCs w:val="24"/>
          <w14:textFill>
            <w14:solidFill>
              <w14:schemeClr w14:val="tx1"/>
            </w14:solidFill>
          </w14:textFill>
        </w:rPr>
        <w:t>32、货物（包含与货物相关的服务）的追加</w:t>
      </w:r>
    </w:p>
    <w:p w14:paraId="27A3B74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32.1政府采购合同履行中，采购人需追加与合同标的相同的货物（包含与货物相关的服务）的，在不改变合同其他条款的前提下，可以与中标人协商签订补充合同，但所有补充合同的采购金额不超过原合同金额10%。</w:t>
      </w:r>
    </w:p>
    <w:bookmarkEnd w:id="187"/>
    <w:bookmarkEnd w:id="188"/>
    <w:bookmarkEnd w:id="189"/>
    <w:p w14:paraId="6CC3BA4A">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bookmarkStart w:id="190" w:name="_Toc479757207"/>
      <w:bookmarkStart w:id="191" w:name="_Toc20823314"/>
      <w:bookmarkStart w:id="192" w:name="_Toc120614221"/>
      <w:bookmarkStart w:id="193" w:name="_Toc513029242"/>
      <w:bookmarkStart w:id="194" w:name="_Toc16938558"/>
      <w:r>
        <w:rPr>
          <w:rFonts w:ascii="Times New Roman" w:hAnsi="Times New Roman" w:eastAsia="方正黑体_GBK" w:cs="Times New Roman"/>
          <w:b w:val="0"/>
          <w:color w:val="000000" w:themeColor="text1"/>
          <w:sz w:val="24"/>
          <w:szCs w:val="24"/>
          <w14:textFill>
            <w14:solidFill>
              <w14:schemeClr w14:val="tx1"/>
            </w14:solidFill>
          </w14:textFill>
        </w:rPr>
        <w:t>33、政府采购履约资金扶持政策</w:t>
      </w:r>
    </w:p>
    <w:p w14:paraId="5E4091E8">
      <w:pPr>
        <w:pStyle w:val="190"/>
        <w:spacing w:line="480" w:lineRule="exact"/>
        <w:ind w:firstLine="480" w:firstLineChars="200"/>
        <w:rPr>
          <w:rFonts w:eastAsia="方正仿宋_GBK"/>
          <w:bCs/>
          <w:color w:val="000000" w:themeColor="text1"/>
          <w:sz w:val="24"/>
          <w:szCs w:val="24"/>
          <w:lang w:val="zh-CN"/>
          <w14:textFill>
            <w14:solidFill>
              <w14:schemeClr w14:val="tx1"/>
            </w14:solidFill>
          </w14:textFill>
        </w:rPr>
      </w:pPr>
      <w:r>
        <w:rPr>
          <w:rFonts w:eastAsia="方正仿宋_GBK"/>
          <w:bCs/>
          <w:color w:val="000000" w:themeColor="text1"/>
          <w:sz w:val="24"/>
          <w:szCs w:val="24"/>
          <w14:textFill>
            <w14:solidFill>
              <w14:schemeClr w14:val="tx1"/>
            </w14:solidFill>
          </w14:textFill>
        </w:rPr>
        <w:t>33.1依</w:t>
      </w:r>
      <w:r>
        <w:rPr>
          <w:rFonts w:eastAsia="方正仿宋_GBK"/>
          <w:bCs/>
          <w:color w:val="000000" w:themeColor="text1"/>
          <w:sz w:val="24"/>
          <w:szCs w:val="24"/>
          <w:lang w:val="zh-CN"/>
          <w14:textFill>
            <w14:solidFill>
              <w14:schemeClr w14:val="tx1"/>
            </w14:solidFill>
          </w14:textFill>
        </w:rPr>
        <w:t>据《关于转发江苏省财政厅、中国人民银行南京分行&lt;关于深入推进政府采购线上合同信用融资工作的通知&gt;的通知》（通财购〔2021〕41号），对政府采购中标投标人提出“政采贷”融资申请的，采购人应当依法按时在“苏采云”系统中录入并公开政府采购合同信息，勾选“融资贷款”选项，并在合同签订、验收付款、账号维护等环节提供必要便利，持续降低参与政府采购的中小企业融资成本。中标投标人如需获得合同信用融资支持，可凭政府采购合同办理“政采贷”融资贷款。</w:t>
      </w:r>
    </w:p>
    <w:p w14:paraId="5BCD7C16">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r>
        <w:rPr>
          <w:rFonts w:ascii="Times New Roman" w:hAnsi="Times New Roman" w:eastAsia="方正黑体_GBK" w:cs="Times New Roman"/>
          <w:b w:val="0"/>
          <w:color w:val="000000" w:themeColor="text1"/>
          <w:sz w:val="24"/>
          <w:szCs w:val="24"/>
          <w14:textFill>
            <w14:solidFill>
              <w14:schemeClr w14:val="tx1"/>
            </w14:solidFill>
          </w14:textFill>
        </w:rPr>
        <w:t>34、验收及付款</w:t>
      </w:r>
    </w:p>
    <w:p w14:paraId="28D030A1">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34.1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须承担由此发生的一切损失和费用，并接受相应的处理。</w:t>
      </w:r>
    </w:p>
    <w:p w14:paraId="5CA2BB5C">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34.2采购人可以邀请参加本项目的其他投标人或者第三方机构参与验收。参与验收的投标人或者第三方机构的意见作为验收书的参考资料一并存档。</w:t>
      </w:r>
    </w:p>
    <w:p w14:paraId="43B7547B">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34.3严格按照采购合同开展履约验收。采购人成立验收小组，按照采购合同的约定对</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3551E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34.4验收合格的项目，采购人将根据采购合同的约定及时向</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支付采购资金、退还履约保证金。验收不合格的项目，采购人将依法及时处理。采购合同的履行、违约责任和解决争议的方式等适用《中华人民共和国民法典》。</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在履约过程中有政府采购法律法规规定的违法违规情形的，采购人应当及时报告本级财政部门。</w:t>
      </w:r>
    </w:p>
    <w:p w14:paraId="3EBCEB63">
      <w:pPr>
        <w:pStyle w:val="191"/>
        <w:keepNext w:val="0"/>
        <w:keepLines w:val="0"/>
        <w:spacing w:before="0" w:after="0" w:line="480" w:lineRule="exact"/>
        <w:ind w:firstLine="480" w:firstLineChars="200"/>
        <w:rPr>
          <w:rFonts w:ascii="Times New Roman" w:hAnsi="Times New Roman" w:eastAsia="方正黑体_GBK" w:cs="Times New Roman"/>
          <w:b w:val="0"/>
          <w:color w:val="000000" w:themeColor="text1"/>
          <w:sz w:val="24"/>
          <w:szCs w:val="24"/>
          <w14:textFill>
            <w14:solidFill>
              <w14:schemeClr w14:val="tx1"/>
            </w14:solidFill>
          </w14:textFill>
        </w:rPr>
      </w:pPr>
      <w:r>
        <w:rPr>
          <w:rFonts w:ascii="Times New Roman" w:hAnsi="Times New Roman" w:eastAsia="方正黑体_GBK" w:cs="Times New Roman"/>
          <w:b w:val="0"/>
          <w:color w:val="000000" w:themeColor="text1"/>
          <w:sz w:val="24"/>
          <w:szCs w:val="24"/>
          <w14:textFill>
            <w14:solidFill>
              <w14:schemeClr w14:val="tx1"/>
            </w14:solidFill>
          </w14:textFill>
        </w:rPr>
        <w:t>35、付款</w:t>
      </w:r>
    </w:p>
    <w:p w14:paraId="055DA7FD">
      <w:pPr>
        <w:spacing w:line="480" w:lineRule="exact"/>
        <w:ind w:firstLine="480" w:firstLineChars="200"/>
        <w:rPr>
          <w:rFonts w:eastAsia="方正仿宋_GBK"/>
          <w:b/>
          <w:bCs/>
          <w:color w:val="000000" w:themeColor="text1"/>
          <w:sz w:val="24"/>
          <w:szCs w:val="24"/>
          <w14:textFill>
            <w14:solidFill>
              <w14:schemeClr w14:val="tx1"/>
            </w14:solidFill>
          </w14:textFill>
        </w:rPr>
      </w:pPr>
      <w:bookmarkStart w:id="195" w:name="EBec7f529f50594afd871ea9378869e456"/>
      <w:r>
        <w:rPr>
          <w:rFonts w:eastAsia="方正仿宋_GBK"/>
          <w:bCs/>
          <w:color w:val="000000" w:themeColor="text1"/>
          <w:sz w:val="24"/>
          <w:szCs w:val="24"/>
          <w:highlight w:val="white"/>
          <w14:textFill>
            <w14:solidFill>
              <w14:schemeClr w14:val="tx1"/>
            </w14:solidFill>
          </w14:textFill>
        </w:rPr>
        <w:t>按照以下确定的付款方式，采购人及时办理付款手续。对于满足合同约定支付条件的，自收到发票后10个工作日内将资金支付到合同约定的</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账户或</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数字人民币账户。</w:t>
      </w:r>
      <w:bookmarkEnd w:id="195"/>
    </w:p>
    <w:p w14:paraId="7C5C50FD">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预付款：合同金额的</w:t>
      </w:r>
      <w:bookmarkStart w:id="196" w:name="EBe373fd05aa034cc3a1a41aadf8509e01"/>
      <w:r>
        <w:rPr>
          <w:rFonts w:eastAsia="方正仿宋_GBK"/>
          <w:bCs/>
          <w:color w:val="000000" w:themeColor="text1"/>
          <w:sz w:val="24"/>
          <w:szCs w:val="24"/>
          <w:highlight w:val="white"/>
          <w:u w:val="single"/>
          <w14:textFill>
            <w14:solidFill>
              <w14:schemeClr w14:val="tx1"/>
            </w14:solidFill>
          </w14:textFill>
        </w:rPr>
        <w:t xml:space="preserve">  30  </w:t>
      </w:r>
      <w:r>
        <w:rPr>
          <w:rFonts w:eastAsia="方正仿宋_GBK"/>
          <w:bCs/>
          <w:color w:val="000000" w:themeColor="text1"/>
          <w:sz w:val="24"/>
          <w:szCs w:val="24"/>
          <w:highlight w:val="white"/>
          <w14:textFill>
            <w14:solidFill>
              <w14:schemeClr w14:val="tx1"/>
            </w14:solidFill>
          </w14:textFill>
        </w:rPr>
        <w:t>%</w:t>
      </w:r>
      <w:bookmarkEnd w:id="196"/>
      <w:r>
        <w:rPr>
          <w:rFonts w:eastAsia="方正仿宋_GBK"/>
          <w:bCs/>
          <w:color w:val="000000" w:themeColor="text1"/>
          <w:sz w:val="24"/>
          <w:szCs w:val="24"/>
          <w:highlight w:val="white"/>
          <w14:textFill>
            <w14:solidFill>
              <w14:schemeClr w14:val="tx1"/>
            </w14:solidFill>
          </w14:textFill>
        </w:rPr>
        <w:t>，合同签订后按规定支付；</w:t>
      </w:r>
    </w:p>
    <w:p w14:paraId="1D552E32">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r>
        <w:rPr>
          <w:rFonts w:eastAsia="方正仿宋_GBK"/>
          <w:bCs/>
          <w:color w:val="000000" w:themeColor="text1"/>
          <w:sz w:val="24"/>
          <w:szCs w:val="24"/>
          <w:highlight w:val="white"/>
          <w14:textFill>
            <w14:solidFill>
              <w14:schemeClr w14:val="tx1"/>
            </w14:solidFill>
          </w14:textFill>
        </w:rPr>
        <w:t>进度款：</w:t>
      </w:r>
      <w:bookmarkStart w:id="197" w:name="EB5e42c1c1be704ecfa15d9f8f317e8f12"/>
      <w:bookmarkEnd w:id="197"/>
      <w:r>
        <w:rPr>
          <w:rFonts w:eastAsia="方正仿宋_GBK"/>
          <w:bCs/>
          <w:color w:val="000000" w:themeColor="text1"/>
          <w:sz w:val="24"/>
          <w:szCs w:val="24"/>
          <w:highlight w:val="white"/>
          <w14:textFill>
            <w14:solidFill>
              <w14:schemeClr w14:val="tx1"/>
            </w14:solidFill>
          </w14:textFill>
        </w:rPr>
        <w:t>初验完成且收到</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发票后10个工作日内支付至合同总额80%；服务期结束，</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提供项目完整技术文档，采购人组织终验并出具终验报告，在收到</w:t>
      </w:r>
      <w:r>
        <w:rPr>
          <w:rFonts w:hint="eastAsia" w:eastAsia="方正仿宋_GBK"/>
          <w:bCs/>
          <w:color w:val="000000" w:themeColor="text1"/>
          <w:sz w:val="24"/>
          <w:szCs w:val="24"/>
          <w:highlight w:val="white"/>
          <w:lang w:eastAsia="zh-CN"/>
          <w14:textFill>
            <w14:solidFill>
              <w14:schemeClr w14:val="tx1"/>
            </w14:solidFill>
          </w14:textFill>
        </w:rPr>
        <w:t>投标人</w:t>
      </w:r>
      <w:r>
        <w:rPr>
          <w:rFonts w:eastAsia="方正仿宋_GBK"/>
          <w:bCs/>
          <w:color w:val="000000" w:themeColor="text1"/>
          <w:sz w:val="24"/>
          <w:szCs w:val="24"/>
          <w:highlight w:val="white"/>
          <w14:textFill>
            <w14:solidFill>
              <w14:schemeClr w14:val="tx1"/>
            </w14:solidFill>
          </w14:textFill>
        </w:rPr>
        <w:t>发票后10个工作日内，支付余款（不计息）。</w:t>
      </w:r>
    </w:p>
    <w:p w14:paraId="23BB6524">
      <w:pPr>
        <w:spacing w:line="480" w:lineRule="exact"/>
        <w:ind w:firstLine="480" w:firstLineChars="200"/>
        <w:rPr>
          <w:rFonts w:eastAsia="方正仿宋_GBK"/>
          <w:bCs/>
          <w:color w:val="000000" w:themeColor="text1"/>
          <w:sz w:val="24"/>
          <w:szCs w:val="24"/>
          <w:highlight w:val="white"/>
          <w14:textFill>
            <w14:solidFill>
              <w14:schemeClr w14:val="tx1"/>
            </w14:solidFill>
          </w14:textFill>
        </w:rPr>
      </w:pPr>
      <w:bookmarkStart w:id="198" w:name="EB11398ec6946f4019bc4c35221e27b04f"/>
      <w:r>
        <w:rPr>
          <w:rFonts w:eastAsia="方正仿宋_GBK"/>
          <w:bCs/>
          <w:color w:val="000000" w:themeColor="text1"/>
          <w:sz w:val="24"/>
          <w:szCs w:val="24"/>
          <w:highlight w:val="white"/>
          <w14:textFill>
            <w14:solidFill>
              <w14:schemeClr w14:val="tx1"/>
            </w14:solidFill>
          </w14:textFill>
        </w:rPr>
        <w:t>注：在签订合同时，中标人明确表示无需预付款或者主动要求降低预付款比例的金额，采购人可不适用预付款规定。</w:t>
      </w:r>
      <w:bookmarkEnd w:id="198"/>
    </w:p>
    <w:p w14:paraId="455A619D">
      <w:pPr>
        <w:rPr>
          <w:rFonts w:eastAsia="方正仿宋_GBK"/>
          <w:color w:val="000000" w:themeColor="text1"/>
          <w14:textFill>
            <w14:solidFill>
              <w14:schemeClr w14:val="tx1"/>
            </w14:solidFill>
          </w14:textFill>
        </w:rPr>
      </w:pPr>
    </w:p>
    <w:p w14:paraId="33DDF0F3">
      <w:pPr>
        <w:pStyle w:val="187"/>
        <w:rPr>
          <w:rFonts w:ascii="Times New Roman" w:eastAsia="方正黑体_GBK"/>
          <w:bCs/>
          <w:color w:val="000000" w:themeColor="text1"/>
          <w:sz w:val="44"/>
          <w14:textFill>
            <w14:solidFill>
              <w14:schemeClr w14:val="tx1"/>
            </w14:solidFill>
          </w14:textFill>
        </w:rPr>
      </w:pPr>
      <w:r>
        <w:rPr>
          <w:rFonts w:ascii="Times New Roman" w:eastAsia="方正黑体_GBK"/>
          <w:bCs/>
          <w:color w:val="000000" w:themeColor="text1"/>
          <w:sz w:val="44"/>
          <w14:textFill>
            <w14:solidFill>
              <w14:schemeClr w14:val="tx1"/>
            </w14:solidFill>
          </w14:textFill>
        </w:rPr>
        <w:br w:type="page" w:clear="all"/>
      </w:r>
    </w:p>
    <w:bookmarkEnd w:id="190"/>
    <w:bookmarkEnd w:id="191"/>
    <w:bookmarkEnd w:id="192"/>
    <w:bookmarkEnd w:id="193"/>
    <w:bookmarkEnd w:id="194"/>
    <w:p w14:paraId="653F5202">
      <w:pPr>
        <w:pStyle w:val="187"/>
        <w:keepNext w:val="0"/>
        <w:rPr>
          <w:rFonts w:ascii="方正小标宋_GBK" w:hAnsi="方正小标宋_GBK" w:eastAsia="方正小标宋_GBK" w:cs="方正小标宋_GBK"/>
          <w:color w:val="000000" w:themeColor="text1"/>
          <w:sz w:val="44"/>
          <w:szCs w:val="44"/>
          <w14:textFill>
            <w14:solidFill>
              <w14:schemeClr w14:val="tx1"/>
            </w14:solidFill>
          </w14:textFill>
        </w:rPr>
      </w:pPr>
      <w:bookmarkStart w:id="199" w:name="_Toc155086566"/>
      <w:bookmarkStart w:id="200" w:name="_Toc104802328"/>
      <w:bookmarkStart w:id="201" w:name="_Toc118461986"/>
      <w:bookmarkStart w:id="202" w:name="_Hlt16619350"/>
      <w:bookmarkStart w:id="203" w:name="_Toc16938590"/>
      <w:bookmarkStart w:id="204" w:name="_Toc120614244"/>
      <w:bookmarkStart w:id="205" w:name="_Toc20823346"/>
      <w:bookmarkStart w:id="206" w:name="_Toc462564139"/>
      <w:bookmarkStart w:id="207" w:name="_Toc479757211"/>
      <w:r>
        <w:rPr>
          <w:rFonts w:ascii="方正小标宋_GBK" w:hAnsi="方正小标宋_GBK" w:eastAsia="方正小标宋_GBK" w:cs="方正小标宋_GBK"/>
          <w:color w:val="000000" w:themeColor="text1"/>
          <w:sz w:val="44"/>
          <w:szCs w:val="44"/>
          <w14:textFill>
            <w14:solidFill>
              <w14:schemeClr w14:val="tx1"/>
            </w14:solidFill>
          </w14:textFill>
        </w:rPr>
        <w:t>第三章  合同文本</w:t>
      </w:r>
      <w:bookmarkEnd w:id="199"/>
      <w:bookmarkEnd w:id="200"/>
      <w:bookmarkEnd w:id="201"/>
    </w:p>
    <w:p w14:paraId="18FD43C2">
      <w:pPr>
        <w:spacing w:line="500" w:lineRule="exact"/>
        <w:ind w:firstLine="480"/>
        <w:rPr>
          <w:rFonts w:eastAsia="方正仿宋_GBK"/>
          <w:bCs/>
          <w:color w:val="000000" w:themeColor="text1"/>
          <w:sz w:val="24"/>
          <w14:textFill>
            <w14:solidFill>
              <w14:schemeClr w14:val="tx1"/>
            </w14:solidFill>
          </w14:textFill>
        </w:rPr>
      </w:pPr>
      <w:bookmarkStart w:id="208" w:name="_Toc16938559"/>
      <w:bookmarkStart w:id="209" w:name="_Toc513029243"/>
      <w:bookmarkStart w:id="210" w:name="_Toc20823315"/>
      <w:r>
        <w:rPr>
          <w:rFonts w:eastAsia="方正仿宋_GBK"/>
          <w:bCs/>
          <w:color w:val="000000" w:themeColor="text1"/>
          <w:sz w:val="24"/>
          <w14:textFill>
            <w14:solidFill>
              <w14:schemeClr w14:val="tx1"/>
            </w14:solidFill>
          </w14:textFill>
        </w:rPr>
        <w:t>以下为中标后签定本项目合同的通用条款，投标人不得提出实质性的修改。</w:t>
      </w:r>
    </w:p>
    <w:p w14:paraId="53F2F30A">
      <w:pPr>
        <w:spacing w:line="500" w:lineRule="exact"/>
        <w:ind w:firstLine="480"/>
        <w:rPr>
          <w:rFonts w:eastAsia="方正仿宋_GBK"/>
          <w:bCs/>
          <w:color w:val="000000" w:themeColor="text1"/>
          <w:sz w:val="24"/>
          <w14:textFill>
            <w14:solidFill>
              <w14:schemeClr w14:val="tx1"/>
            </w14:solidFill>
          </w14:textFill>
        </w:rPr>
      </w:pPr>
      <w:r>
        <w:rPr>
          <w:rFonts w:eastAsia="方正仿宋_GBK"/>
          <w:bCs/>
          <w:color w:val="000000" w:themeColor="text1"/>
          <w:sz w:val="24"/>
          <w14:textFill>
            <w14:solidFill>
              <w14:schemeClr w14:val="tx1"/>
            </w14:solidFill>
          </w14:textFill>
        </w:rPr>
        <w:t>关于专用条款将由采购人与投标人结合本项目具体情况协商后签订。</w:t>
      </w:r>
      <w:bookmarkEnd w:id="208"/>
      <w:bookmarkEnd w:id="209"/>
      <w:bookmarkEnd w:id="210"/>
    </w:p>
    <w:p w14:paraId="26B8BFA9">
      <w:pPr>
        <w:spacing w:line="360" w:lineRule="auto"/>
        <w:ind w:firstLine="482"/>
        <w:jc w:val="center"/>
        <w:rPr>
          <w:rFonts w:eastAsia="方正仿宋_GBK"/>
          <w:b/>
          <w:color w:val="000000" w:themeColor="text1"/>
          <w:sz w:val="24"/>
          <w:szCs w:val="24"/>
          <w14:textFill>
            <w14:solidFill>
              <w14:schemeClr w14:val="tx1"/>
            </w14:solidFill>
          </w14:textFill>
        </w:rPr>
      </w:pPr>
      <w:bookmarkStart w:id="211" w:name="_Hlt16619369"/>
      <w:bookmarkEnd w:id="211"/>
      <w:bookmarkStart w:id="212" w:name="_Toc155086567"/>
      <w:r>
        <w:rPr>
          <w:rFonts w:eastAsia="方正仿宋_GBK"/>
          <w:b/>
          <w:color w:val="000000" w:themeColor="text1"/>
          <w:sz w:val="24"/>
          <w:szCs w:val="24"/>
          <w14:textFill>
            <w14:solidFill>
              <w14:schemeClr w14:val="tx1"/>
            </w14:solidFill>
          </w14:textFill>
        </w:rPr>
        <w:t>政府采购合同（货物）（合同编号）</w:t>
      </w:r>
      <w:bookmarkEnd w:id="212"/>
    </w:p>
    <w:p w14:paraId="1AF7F5F3">
      <w:pPr>
        <w:spacing w:line="360" w:lineRule="auto"/>
        <w:ind w:firstLine="482"/>
        <w:jc w:val="center"/>
        <w:rPr>
          <w:rFonts w:eastAsia="方正仿宋_GBK"/>
          <w:b/>
          <w:color w:val="000000" w:themeColor="text1"/>
          <w:sz w:val="24"/>
          <w:szCs w:val="24"/>
          <w14:textFill>
            <w14:solidFill>
              <w14:schemeClr w14:val="tx1"/>
            </w14:solidFill>
          </w14:textFill>
        </w:rPr>
      </w:pPr>
      <w:r>
        <w:rPr>
          <w:rFonts w:eastAsia="方正仿宋_GBK"/>
          <w:b/>
          <w:color w:val="000000" w:themeColor="text1"/>
          <w:sz w:val="24"/>
          <w:szCs w:val="24"/>
          <w14:textFill>
            <w14:solidFill>
              <w14:schemeClr w14:val="tx1"/>
            </w14:solidFill>
          </w14:textFill>
        </w:rPr>
        <w:t>宿迁市城市生命线二期2024年项目（市级管养三座桥梁硬件设施采购及安装项目）政府采购合同（参考）</w:t>
      </w:r>
    </w:p>
    <w:p w14:paraId="3A304F5F">
      <w:pPr>
        <w:spacing w:line="360" w:lineRule="auto"/>
        <w:ind w:firstLine="482"/>
        <w:jc w:val="center"/>
        <w:rPr>
          <w:rFonts w:eastAsia="方正仿宋_GBK"/>
          <w:b/>
          <w:color w:val="000000" w:themeColor="text1"/>
          <w:sz w:val="24"/>
          <w:szCs w:val="24"/>
          <w14:textFill>
            <w14:solidFill>
              <w14:schemeClr w14:val="tx1"/>
            </w14:solidFill>
          </w14:textFill>
        </w:rPr>
      </w:pPr>
      <w:r>
        <w:rPr>
          <w:rFonts w:eastAsia="方正仿宋_GBK"/>
          <w:b/>
          <w:color w:val="000000" w:themeColor="text1"/>
          <w:sz w:val="24"/>
          <w:szCs w:val="24"/>
          <w14:textFill>
            <w14:solidFill>
              <w14:schemeClr w14:val="tx1"/>
            </w14:solidFill>
          </w14:textFill>
        </w:rPr>
        <w:t>专用条款</w:t>
      </w:r>
    </w:p>
    <w:p w14:paraId="3E8C6554">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采购单位（全称）：</w:t>
      </w:r>
      <w:r>
        <w:rPr>
          <w:rFonts w:eastAsia="方正仿宋_GBK"/>
          <w:color w:val="000000" w:themeColor="text1"/>
          <w:sz w:val="24"/>
          <w:szCs w:val="24"/>
          <w:u w:val="single"/>
          <w14:textFill>
            <w14:solidFill>
              <w14:schemeClr w14:val="tx1"/>
            </w14:solidFill>
          </w14:textFill>
        </w:rPr>
        <w:t xml:space="preserve">          </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eastAsia="方正仿宋_GBK"/>
          <w:color w:val="000000" w:themeColor="text1"/>
          <w:sz w:val="24"/>
          <w:szCs w:val="24"/>
          <w:u w:val="single"/>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（简称甲方）</w:t>
      </w:r>
    </w:p>
    <w:p w14:paraId="21040E47">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中标</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（全称）</w:t>
      </w:r>
      <w:r>
        <w:rPr>
          <w:rFonts w:eastAsia="方正仿宋_GBK"/>
          <w:color w:val="000000" w:themeColor="text1"/>
          <w:sz w:val="24"/>
          <w:szCs w:val="24"/>
          <w:u w:val="single"/>
          <w14:textFill>
            <w14:solidFill>
              <w14:schemeClr w14:val="tx1"/>
            </w14:solidFill>
          </w14:textFill>
        </w:rPr>
        <w:t xml:space="preserve">：         </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（简称乙方）</w:t>
      </w:r>
    </w:p>
    <w:p w14:paraId="473A4628">
      <w:pPr>
        <w:spacing w:line="500" w:lineRule="exact"/>
        <w:ind w:firstLine="960" w:firstLineChars="400"/>
        <w:rPr>
          <w:rFonts w:eastAsia="方正仿宋_GBK"/>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依照《中华人民共和国政府采购法》及其实施条例、《中华人民共和国民法典（第三编合同）》及其他有关法律、行政法规，遵循平等、自愿、公平和诚实信用的原则，双方就</w:t>
      </w:r>
      <w:r>
        <w:rPr>
          <w:rFonts w:hint="eastAsia" w:eastAsia="方正仿宋_GBK" w:cs="Times New Roman"/>
          <w:color w:val="000000" w:themeColor="text1"/>
          <w:sz w:val="24"/>
          <w:szCs w:val="24"/>
          <w:u w:val="single"/>
          <w:lang w:eastAsia="zh-CN"/>
          <w14:textFill>
            <w14:solidFill>
              <w14:schemeClr w14:val="tx1"/>
            </w14:solidFill>
          </w14:textFill>
        </w:rPr>
        <w:t>JSZC-321300-SWZX-G2025-0001</w:t>
      </w:r>
      <w:r>
        <w:rPr>
          <w:rFonts w:hint="default" w:ascii="Times New Roman" w:hAnsi="Times New Roman" w:eastAsia="方正仿宋_GBK" w:cs="Times New Roman"/>
          <w:color w:val="000000" w:themeColor="text1"/>
          <w:sz w:val="24"/>
          <w:szCs w:val="24"/>
          <w:u w:val="single"/>
          <w:lang w:eastAsia="zh-CN"/>
          <w14:textFill>
            <w14:solidFill>
              <w14:schemeClr w14:val="tx1"/>
            </w14:solidFill>
          </w14:textFill>
        </w:rPr>
        <w:t>宿迁市城市生命线二期</w:t>
      </w:r>
      <w:r>
        <w:rPr>
          <w:rFonts w:hint="default" w:ascii="Times New Roman" w:hAnsi="Times New Roman" w:eastAsia="方正仿宋_GBK" w:cs="Times New Roman"/>
          <w:color w:val="000000" w:themeColor="text1"/>
          <w:sz w:val="24"/>
          <w:szCs w:val="24"/>
          <w:u w:val="single"/>
          <w:lang w:val="en-US" w:eastAsia="zh-CN"/>
          <w14:textFill>
            <w14:solidFill>
              <w14:schemeClr w14:val="tx1"/>
            </w14:solidFill>
          </w14:textFill>
        </w:rPr>
        <w:t>2024年项目（市级管养三座桥梁硬件设施采购及安装项目</w:t>
      </w:r>
      <w:r>
        <w:rPr>
          <w:rFonts w:hint="eastAsia" w:ascii="Times New Roman" w:hAnsi="Times New Roman" w:eastAsia="方正仿宋_GBK" w:cs="Times New Roman"/>
          <w:color w:val="000000" w:themeColor="text1"/>
          <w:sz w:val="24"/>
          <w:szCs w:val="24"/>
          <w:u w:val="single"/>
          <w:lang w:val="en-US" w:eastAsia="zh-CN"/>
          <w14:textFill>
            <w14:solidFill>
              <w14:schemeClr w14:val="tx1"/>
            </w14:solidFill>
          </w14:textFill>
        </w:rPr>
        <w:t>）</w:t>
      </w:r>
      <w:r>
        <w:rPr>
          <w:rFonts w:eastAsia="方正仿宋_GBK"/>
          <w:color w:val="000000" w:themeColor="text1"/>
          <w:sz w:val="24"/>
          <w:szCs w:val="24"/>
          <w14:textFill>
            <w14:solidFill>
              <w14:schemeClr w14:val="tx1"/>
            </w14:solidFill>
          </w14:textFill>
        </w:rPr>
        <w:t>相关事项协商一致，达成如下合同条款：</w:t>
      </w:r>
    </w:p>
    <w:p w14:paraId="2AC76105">
      <w:pPr>
        <w:pStyle w:val="189"/>
        <w:keepNext w:val="0"/>
        <w:keepLines w:val="0"/>
        <w:numPr>
          <w:ilvl w:val="0"/>
          <w:numId w:val="0"/>
        </w:numPr>
        <w:spacing w:before="0" w:after="0" w:line="500" w:lineRule="exact"/>
        <w:ind w:left="480" w:leftChars="0"/>
        <w:rPr>
          <w:rFonts w:hint="eastAsia"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一、</w:t>
      </w:r>
      <w:r>
        <w:rPr>
          <w:rFonts w:ascii="方正黑体_GBK" w:hAnsi="方正黑体_GBK" w:eastAsia="方正黑体_GBK" w:cs="方正黑体_GBK"/>
          <w:b w:val="0"/>
          <w:bCs w:val="0"/>
          <w:color w:val="000000" w:themeColor="text1"/>
          <w:sz w:val="24"/>
          <w:szCs w:val="24"/>
          <w14:textFill>
            <w14:solidFill>
              <w14:schemeClr w14:val="tx1"/>
            </w14:solidFill>
          </w14:textFill>
        </w:rPr>
        <w:t>乙方向甲方提供总价值为</w:t>
      </w:r>
      <w:r>
        <w:rPr>
          <w:rFonts w:hint="eastAsia" w:ascii="方正黑体_GBK" w:hAnsi="方正黑体_GBK" w:eastAsia="方正黑体_GBK" w:cs="方正黑体_GBK"/>
          <w:b w:val="0"/>
          <w:bCs w:val="0"/>
          <w:color w:val="000000" w:themeColor="text1"/>
          <w:sz w:val="24"/>
          <w:szCs w:val="24"/>
          <w:u w:val="single"/>
          <w:lang w:val="en-US" w:eastAsia="zh-CN"/>
          <w14:textFill>
            <w14:solidFill>
              <w14:schemeClr w14:val="tx1"/>
            </w14:solidFill>
          </w14:textFill>
        </w:rPr>
        <w:t xml:space="preserve">             </w:t>
      </w:r>
      <w:r>
        <w:rPr>
          <w:rFonts w:ascii="方正黑体_GBK" w:hAnsi="方正黑体_GBK" w:eastAsia="方正黑体_GBK" w:cs="方正黑体_GBK"/>
          <w:b w:val="0"/>
          <w:bCs w:val="0"/>
          <w:color w:val="000000" w:themeColor="text1"/>
          <w:sz w:val="24"/>
          <w:szCs w:val="24"/>
          <w14:textFill>
            <w14:solidFill>
              <w14:schemeClr w14:val="tx1"/>
            </w14:solidFill>
          </w14:textFill>
        </w:rPr>
        <w:t>元的标的物（货物）。</w:t>
      </w:r>
    </w:p>
    <w:p w14:paraId="2AA1E698">
      <w:pPr>
        <w:spacing w:line="500" w:lineRule="exact"/>
        <w:ind w:firstLine="480" w:firstLineChars="200"/>
        <w:rPr>
          <w:color w:val="FF0000"/>
        </w:rPr>
      </w:pPr>
      <w:r>
        <w:rPr>
          <w:rFonts w:hint="eastAsia" w:ascii="Times New Roman" w:hAnsi="Times New Roman" w:eastAsia="方正仿宋_GBK" w:cs="Times New Roman"/>
          <w:color w:val="000000" w:themeColor="text1"/>
          <w:sz w:val="24"/>
          <w:szCs w:val="24"/>
          <w14:textFill>
            <w14:solidFill>
              <w14:schemeClr w14:val="tx1"/>
            </w14:solidFill>
          </w14:textFill>
        </w:rPr>
        <w:t>注：合同</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总价包含</w:t>
      </w:r>
      <w:r>
        <w:rPr>
          <w:rFonts w:hint="eastAsia" w:ascii="Times New Roman" w:hAnsi="Times New Roman" w:eastAsia="方正仿宋_GBK" w:cs="Times New Roman"/>
          <w:color w:val="000000" w:themeColor="text1"/>
          <w:sz w:val="24"/>
          <w:szCs w:val="24"/>
          <w14:textFill>
            <w14:solidFill>
              <w14:schemeClr w14:val="tx1"/>
            </w14:solidFill>
          </w14:textFill>
        </w:rPr>
        <w:t>全部货物和服务、</w:t>
      </w:r>
      <w:r>
        <w:rPr>
          <w:rFonts w:ascii="Times New Roman" w:hAnsi="Times New Roman" w:eastAsia="方正仿宋_GBK" w:cs="Times New Roman"/>
          <w:color w:val="000000" w:themeColor="text1"/>
          <w:sz w:val="24"/>
          <w:szCs w:val="24"/>
          <w14:textFill>
            <w14:solidFill>
              <w14:schemeClr w14:val="tx1"/>
            </w14:solidFill>
          </w14:textFill>
        </w:rPr>
        <w:t>设备及其备品、备件和专用工具费用、数据对接费、</w:t>
      </w:r>
      <w:r>
        <w:rPr>
          <w:rFonts w:hint="eastAsia" w:ascii="Times New Roman" w:hAnsi="Times New Roman" w:eastAsia="方正仿宋_GBK" w:cs="Times New Roman"/>
          <w:color w:val="000000" w:themeColor="text1"/>
          <w:sz w:val="24"/>
          <w:szCs w:val="24"/>
          <w14:textFill>
            <w14:solidFill>
              <w14:schemeClr w14:val="tx1"/>
            </w14:solidFill>
          </w14:textFill>
        </w:rPr>
        <w:t>入网费、电费、</w:t>
      </w:r>
      <w:r>
        <w:rPr>
          <w:rFonts w:ascii="Times New Roman" w:hAnsi="Times New Roman" w:eastAsia="方正仿宋_GBK" w:cs="Times New Roman"/>
          <w:color w:val="000000" w:themeColor="text1"/>
          <w:sz w:val="24"/>
          <w:szCs w:val="24"/>
          <w14:textFill>
            <w14:solidFill>
              <w14:schemeClr w14:val="tx1"/>
            </w14:solidFill>
          </w14:textFill>
        </w:rPr>
        <w:t>人工费</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税费及包装、运输、保险、安装、调试、技术支持与培训、售后服务与维保及相关劳务支出等工作所发生的全部费用以及企业利润、税金和政策性文件规定及合同包含的所有风险、责任等各项应有费用。</w:t>
      </w:r>
    </w:p>
    <w:p w14:paraId="5C854851">
      <w:pPr>
        <w:spacing w:line="500" w:lineRule="exact"/>
        <w:jc w:val="center"/>
        <w:rPr>
          <w:b/>
          <w:color w:val="000000" w:themeColor="text1"/>
          <w:sz w:val="24"/>
          <w:szCs w:val="24"/>
          <w14:textFill>
            <w14:solidFill>
              <w14:schemeClr w14:val="tx1"/>
            </w14:solidFill>
          </w14:textFill>
        </w:rPr>
      </w:pPr>
      <w:r>
        <w:rPr>
          <w:rFonts w:eastAsia="方正仿宋_GBK"/>
          <w:b/>
          <w:color w:val="000000" w:themeColor="text1"/>
          <w:sz w:val="24"/>
          <w:szCs w:val="24"/>
          <w14:textFill>
            <w14:solidFill>
              <w14:schemeClr w14:val="tx1"/>
            </w14:solidFill>
          </w14:textFill>
        </w:rPr>
        <w:t>主要标的物清单（详细列明）</w:t>
      </w:r>
    </w:p>
    <w:tbl>
      <w:tblPr>
        <w:tblStyle w:val="31"/>
        <w:tblW w:w="8600" w:type="dxa"/>
        <w:jc w:val="center"/>
        <w:tblLayout w:type="fixed"/>
        <w:tblCellMar>
          <w:top w:w="0" w:type="dxa"/>
          <w:left w:w="108" w:type="dxa"/>
          <w:bottom w:w="0" w:type="dxa"/>
          <w:right w:w="108" w:type="dxa"/>
        </w:tblCellMar>
      </w:tblPr>
      <w:tblGrid>
        <w:gridCol w:w="1080"/>
        <w:gridCol w:w="3040"/>
        <w:gridCol w:w="1240"/>
        <w:gridCol w:w="1080"/>
        <w:gridCol w:w="1080"/>
        <w:gridCol w:w="1080"/>
      </w:tblGrid>
      <w:tr w14:paraId="0C44E8DA">
        <w:tblPrEx>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FE0025C">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序号</w:t>
            </w:r>
          </w:p>
        </w:tc>
        <w:tc>
          <w:tcPr>
            <w:tcW w:w="3040" w:type="dxa"/>
            <w:tcBorders>
              <w:top w:val="single" w:color="auto" w:sz="4" w:space="0"/>
              <w:left w:val="nil"/>
              <w:bottom w:val="single" w:color="auto" w:sz="4" w:space="0"/>
              <w:right w:val="single" w:color="auto" w:sz="4" w:space="0"/>
            </w:tcBorders>
            <w:vAlign w:val="center"/>
          </w:tcPr>
          <w:p w14:paraId="3242552A">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货物名称.品牌.规格.型号</w:t>
            </w:r>
          </w:p>
        </w:tc>
        <w:tc>
          <w:tcPr>
            <w:tcW w:w="1240" w:type="dxa"/>
            <w:tcBorders>
              <w:top w:val="single" w:color="auto" w:sz="4" w:space="0"/>
              <w:left w:val="nil"/>
              <w:bottom w:val="single" w:color="auto" w:sz="4" w:space="0"/>
              <w:right w:val="single" w:color="auto" w:sz="4" w:space="0"/>
            </w:tcBorders>
            <w:vAlign w:val="center"/>
          </w:tcPr>
          <w:p w14:paraId="75234FF6">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单位</w:t>
            </w:r>
          </w:p>
        </w:tc>
        <w:tc>
          <w:tcPr>
            <w:tcW w:w="1080" w:type="dxa"/>
            <w:tcBorders>
              <w:top w:val="single" w:color="auto" w:sz="4" w:space="0"/>
              <w:left w:val="nil"/>
              <w:bottom w:val="single" w:color="auto" w:sz="4" w:space="0"/>
              <w:right w:val="single" w:color="auto" w:sz="4" w:space="0"/>
            </w:tcBorders>
            <w:vAlign w:val="center"/>
          </w:tcPr>
          <w:p w14:paraId="52230C42">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数量</w:t>
            </w:r>
          </w:p>
        </w:tc>
        <w:tc>
          <w:tcPr>
            <w:tcW w:w="1080" w:type="dxa"/>
            <w:tcBorders>
              <w:top w:val="single" w:color="auto" w:sz="4" w:space="0"/>
              <w:left w:val="nil"/>
              <w:bottom w:val="single" w:color="auto" w:sz="4" w:space="0"/>
              <w:right w:val="single" w:color="auto" w:sz="4" w:space="0"/>
            </w:tcBorders>
            <w:vAlign w:val="center"/>
          </w:tcPr>
          <w:p w14:paraId="1E10B7B0">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单价（元）</w:t>
            </w:r>
          </w:p>
        </w:tc>
        <w:tc>
          <w:tcPr>
            <w:tcW w:w="1080" w:type="dxa"/>
            <w:tcBorders>
              <w:top w:val="single" w:color="auto" w:sz="4" w:space="0"/>
              <w:left w:val="nil"/>
              <w:bottom w:val="single" w:color="auto" w:sz="4" w:space="0"/>
              <w:right w:val="single" w:color="auto" w:sz="4" w:space="0"/>
            </w:tcBorders>
            <w:vAlign w:val="center"/>
          </w:tcPr>
          <w:p w14:paraId="57449B47">
            <w:pPr>
              <w:widowControl/>
              <w:spacing w:line="280" w:lineRule="exact"/>
              <w:jc w:val="center"/>
              <w:rPr>
                <w:rFonts w:eastAsia="方正黑体_GBK"/>
                <w:color w:val="000000" w:themeColor="text1"/>
                <w14:textFill>
                  <w14:solidFill>
                    <w14:schemeClr w14:val="tx1"/>
                  </w14:solidFill>
                </w14:textFill>
              </w:rPr>
            </w:pPr>
            <w:r>
              <w:rPr>
                <w:rFonts w:eastAsia="方正黑体_GBK"/>
                <w:color w:val="000000" w:themeColor="text1"/>
                <w14:textFill>
                  <w14:solidFill>
                    <w14:schemeClr w14:val="tx1"/>
                  </w14:solidFill>
                </w14:textFill>
              </w:rPr>
              <w:t>总价（元）</w:t>
            </w:r>
          </w:p>
        </w:tc>
      </w:tr>
      <w:tr w14:paraId="1789A000">
        <w:tblPrEx>
          <w:tblCellMar>
            <w:top w:w="0" w:type="dxa"/>
            <w:left w:w="108" w:type="dxa"/>
            <w:bottom w:w="0" w:type="dxa"/>
            <w:right w:w="108" w:type="dxa"/>
          </w:tblCellMar>
        </w:tblPrEx>
        <w:trPr>
          <w:trHeight w:val="547" w:hRule="atLeast"/>
          <w:jc w:val="center"/>
        </w:trPr>
        <w:tc>
          <w:tcPr>
            <w:tcW w:w="1080" w:type="dxa"/>
            <w:tcBorders>
              <w:top w:val="nil"/>
              <w:left w:val="single" w:color="auto" w:sz="4" w:space="0"/>
              <w:bottom w:val="single" w:color="auto" w:sz="4" w:space="0"/>
              <w:right w:val="single" w:color="auto" w:sz="4" w:space="0"/>
            </w:tcBorders>
            <w:vAlign w:val="center"/>
          </w:tcPr>
          <w:p w14:paraId="4F945D9A">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14:paraId="68D2B0D9">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240" w:type="dxa"/>
            <w:tcBorders>
              <w:top w:val="nil"/>
              <w:left w:val="nil"/>
              <w:bottom w:val="single" w:color="auto" w:sz="4" w:space="0"/>
              <w:right w:val="single" w:color="auto" w:sz="4" w:space="0"/>
            </w:tcBorders>
            <w:vAlign w:val="center"/>
          </w:tcPr>
          <w:p w14:paraId="259361DF">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3BA17227">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4FA615BF">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7F3823A3">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r>
      <w:tr w14:paraId="1672C8B5">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2B44EF78">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14:paraId="38C54F94">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240" w:type="dxa"/>
            <w:tcBorders>
              <w:top w:val="nil"/>
              <w:left w:val="nil"/>
              <w:bottom w:val="single" w:color="auto" w:sz="4" w:space="0"/>
              <w:right w:val="single" w:color="auto" w:sz="4" w:space="0"/>
            </w:tcBorders>
            <w:vAlign w:val="center"/>
          </w:tcPr>
          <w:p w14:paraId="592EE437">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641BE17E">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3235FA47">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c>
          <w:tcPr>
            <w:tcW w:w="1080" w:type="dxa"/>
            <w:tcBorders>
              <w:top w:val="nil"/>
              <w:left w:val="nil"/>
              <w:bottom w:val="single" w:color="auto" w:sz="4" w:space="0"/>
              <w:right w:val="single" w:color="auto" w:sz="4" w:space="0"/>
            </w:tcBorders>
            <w:vAlign w:val="center"/>
          </w:tcPr>
          <w:p w14:paraId="52004233">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　</w:t>
            </w:r>
          </w:p>
        </w:tc>
      </w:tr>
      <w:tr w14:paraId="78D372A7">
        <w:tblPrEx>
          <w:tblCellMar>
            <w:top w:w="0" w:type="dxa"/>
            <w:left w:w="108" w:type="dxa"/>
            <w:bottom w:w="0" w:type="dxa"/>
            <w:right w:w="108" w:type="dxa"/>
          </w:tblCellMar>
        </w:tblPrEx>
        <w:trPr>
          <w:trHeight w:val="570" w:hRule="atLeast"/>
          <w:jc w:val="center"/>
        </w:trPr>
        <w:tc>
          <w:tcPr>
            <w:tcW w:w="8600" w:type="dxa"/>
            <w:gridSpan w:val="6"/>
            <w:tcBorders>
              <w:top w:val="single" w:color="auto" w:sz="4" w:space="0"/>
              <w:left w:val="single" w:color="auto" w:sz="4" w:space="0"/>
              <w:bottom w:val="single" w:color="auto" w:sz="4" w:space="0"/>
              <w:right w:val="single" w:color="auto" w:sz="4" w:space="0"/>
            </w:tcBorders>
            <w:vAlign w:val="center"/>
          </w:tcPr>
          <w:p w14:paraId="292F3FC8">
            <w:pPr>
              <w:widowControl/>
              <w:spacing w:line="280" w:lineRule="exact"/>
              <w:jc w:val="center"/>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合计：人民币金额（大写）：                  （￥：       ）</w:t>
            </w:r>
          </w:p>
        </w:tc>
      </w:tr>
    </w:tbl>
    <w:p w14:paraId="60D46DAB">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w:t>
      </w:r>
      <w:r>
        <w:rPr>
          <w:rFonts w:hint="eastAsia" w:ascii="方正黑体_GBK" w:hAnsi="方正黑体_GBK" w:eastAsia="方正黑体_GBK" w:cs="方正黑体_GBK"/>
          <w:b w:val="0"/>
          <w:bCs w:val="0"/>
          <w:color w:val="000000" w:themeColor="text1"/>
          <w:sz w:val="24"/>
          <w:szCs w:val="24"/>
          <w14:textFill>
            <w14:solidFill>
              <w14:schemeClr w14:val="tx1"/>
            </w14:solidFill>
          </w14:textFill>
        </w:rPr>
        <w:t>合同履行期限</w:t>
      </w:r>
      <w:r>
        <w:rPr>
          <w:rFonts w:ascii="方正黑体_GBK" w:hAnsi="方正黑体_GBK" w:eastAsia="方正黑体_GBK" w:cs="方正黑体_GBK"/>
          <w:b w:val="0"/>
          <w:bCs w:val="0"/>
          <w:color w:val="000000" w:themeColor="text1"/>
          <w:sz w:val="24"/>
          <w:szCs w:val="24"/>
          <w14:textFill>
            <w14:solidFill>
              <w14:schemeClr w14:val="tx1"/>
            </w14:solidFill>
          </w14:textFill>
        </w:rPr>
        <w:t>、地点</w:t>
      </w:r>
    </w:p>
    <w:p w14:paraId="73304A9D">
      <w:pPr>
        <w:spacing w:line="480" w:lineRule="exact"/>
        <w:ind w:firstLine="480" w:firstLineChars="200"/>
        <w:rPr>
          <w:rFonts w:eastAsia="方正仿宋_GBK"/>
          <w:color w:val="000000" w:themeColor="text1"/>
          <w:sz w:val="24"/>
          <w:szCs w:val="24"/>
          <w:highlight w:val="yellow"/>
          <w14:textFill>
            <w14:solidFill>
              <w14:schemeClr w14:val="tx1"/>
            </w14:solidFill>
          </w14:textFill>
        </w:rPr>
      </w:pPr>
      <w:r>
        <w:rPr>
          <w:rFonts w:eastAsia="方正仿宋_GBK"/>
          <w:color w:val="000000" w:themeColor="text1"/>
          <w:sz w:val="24"/>
          <w:szCs w:val="24"/>
          <w14:textFill>
            <w14:solidFill>
              <w14:schemeClr w14:val="tx1"/>
            </w14:solidFill>
          </w14:textFill>
        </w:rPr>
        <w:t>（一）</w:t>
      </w:r>
      <w:r>
        <w:rPr>
          <w:rFonts w:hint="eastAsia" w:ascii="方正黑体_GBK" w:hAnsi="方正黑体_GBK" w:eastAsia="方正黑体_GBK" w:cs="方正黑体_GBK"/>
          <w:color w:val="000000" w:themeColor="text1"/>
          <w:sz w:val="24"/>
          <w:szCs w:val="24"/>
          <w14:textFill>
            <w14:solidFill>
              <w14:schemeClr w14:val="tx1"/>
            </w14:solidFill>
          </w14:textFill>
        </w:rPr>
        <w:t>合同履行期限</w:t>
      </w:r>
      <w:r>
        <w:rPr>
          <w:rFonts w:eastAsia="方正仿宋_GBK"/>
          <w:color w:val="000000" w:themeColor="text1"/>
          <w:sz w:val="24"/>
          <w:szCs w:val="24"/>
          <w14:textFill>
            <w14:solidFill>
              <w14:schemeClr w14:val="tx1"/>
            </w14:solidFill>
          </w14:textFill>
        </w:rPr>
        <w:t>：</w:t>
      </w:r>
      <w:r>
        <w:rPr>
          <w:rFonts w:hint="default" w:eastAsia="方正仿宋_GBK"/>
          <w:color w:val="000000" w:themeColor="text1"/>
          <w:sz w:val="24"/>
          <w:szCs w:val="24"/>
          <w14:textFill>
            <w14:solidFill>
              <w14:schemeClr w14:val="tx1"/>
            </w14:solidFill>
          </w14:textFill>
        </w:rPr>
        <w:t>合同签订后</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hint="default" w:eastAsia="方正仿宋_GBK"/>
          <w:color w:val="000000" w:themeColor="text1"/>
          <w:sz w:val="24"/>
          <w:szCs w:val="24"/>
          <w14:textFill>
            <w14:solidFill>
              <w14:schemeClr w14:val="tx1"/>
            </w14:solidFill>
          </w14:textFill>
        </w:rPr>
        <w:t>天内完成监测设备采购、安装和调试，将监测数据实时接入</w:t>
      </w:r>
      <w:r>
        <w:rPr>
          <w:rFonts w:hint="eastAsia" w:eastAsia="方正仿宋_GBK"/>
          <w:color w:val="000000" w:themeColor="text1"/>
          <w:sz w:val="24"/>
          <w:szCs w:val="24"/>
          <w:lang w:eastAsia="zh-CN"/>
          <w14:textFill>
            <w14:solidFill>
              <w14:schemeClr w14:val="tx1"/>
            </w14:solidFill>
          </w14:textFill>
        </w:rPr>
        <w:t>甲方</w:t>
      </w:r>
      <w:r>
        <w:rPr>
          <w:rFonts w:hint="default" w:eastAsia="方正仿宋_GBK"/>
          <w:color w:val="000000" w:themeColor="text1"/>
          <w:sz w:val="24"/>
          <w:szCs w:val="24"/>
          <w14:textFill>
            <w14:solidFill>
              <w14:schemeClr w14:val="tx1"/>
            </w14:solidFill>
          </w14:textFill>
        </w:rPr>
        <w:t>指定的</w:t>
      </w:r>
      <w:r>
        <w:rPr>
          <w:rFonts w:hint="default" w:eastAsia="方正仿宋_GBK"/>
          <w:color w:val="000000" w:themeColor="text1"/>
          <w:sz w:val="24"/>
          <w:szCs w:val="24"/>
          <w:lang w:val="en-US" w:eastAsia="zh-CN"/>
          <w14:textFill>
            <w14:solidFill>
              <w14:schemeClr w14:val="tx1"/>
            </w14:solidFill>
          </w14:textFill>
        </w:rPr>
        <w:t>桥梁监测平台</w:t>
      </w:r>
      <w:r>
        <w:rPr>
          <w:rFonts w:hint="default" w:eastAsia="方正仿宋_GBK"/>
          <w:color w:val="000000" w:themeColor="text1"/>
          <w:sz w:val="24"/>
          <w:szCs w:val="24"/>
          <w14:textFill>
            <w14:solidFill>
              <w14:schemeClr w14:val="tx1"/>
            </w14:solidFill>
          </w14:textFill>
        </w:rPr>
        <w:t>并上线试运行</w:t>
      </w:r>
      <w:r>
        <w:rPr>
          <w:rFonts w:hint="default" w:eastAsia="方正仿宋_GBK"/>
          <w:color w:val="000000" w:themeColor="text1"/>
          <w:sz w:val="24"/>
          <w:szCs w:val="24"/>
          <w:lang w:eastAsia="zh-CN"/>
          <w14:textFill>
            <w14:solidFill>
              <w14:schemeClr w14:val="tx1"/>
            </w14:solidFill>
          </w14:textFill>
        </w:rPr>
        <w:t>。</w:t>
      </w:r>
    </w:p>
    <w:p w14:paraId="7171580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w:t>
      </w:r>
      <w:r>
        <w:rPr>
          <w:rFonts w:hint="eastAsia" w:eastAsia="方正仿宋_GBK"/>
          <w:color w:val="000000" w:themeColor="text1"/>
          <w:sz w:val="24"/>
          <w:szCs w:val="24"/>
          <w14:textFill>
            <w14:solidFill>
              <w14:schemeClr w14:val="tx1"/>
            </w14:solidFill>
          </w14:textFill>
        </w:rPr>
        <w:t>履行</w:t>
      </w:r>
      <w:r>
        <w:rPr>
          <w:rFonts w:eastAsia="方正仿宋_GBK"/>
          <w:color w:val="000000" w:themeColor="text1"/>
          <w:sz w:val="24"/>
          <w:szCs w:val="24"/>
          <w14:textFill>
            <w14:solidFill>
              <w14:schemeClr w14:val="tx1"/>
            </w14:solidFill>
          </w14:textFill>
        </w:rPr>
        <w:t>地点：</w:t>
      </w:r>
      <w:r>
        <w:rPr>
          <w:rFonts w:eastAsia="方正仿宋_GBK"/>
          <w:color w:val="000000" w:themeColor="text1"/>
          <w:sz w:val="24"/>
          <w:szCs w:val="24"/>
          <w:u w:val="single"/>
          <w14:textFill>
            <w14:solidFill>
              <w14:schemeClr w14:val="tx1"/>
            </w14:solidFill>
          </w14:textFill>
        </w:rPr>
        <w:t>甲方指定地点</w:t>
      </w:r>
      <w:r>
        <w:rPr>
          <w:rFonts w:eastAsia="方正仿宋_GBK"/>
          <w:color w:val="000000" w:themeColor="text1"/>
          <w:sz w:val="24"/>
          <w:szCs w:val="24"/>
          <w14:textFill>
            <w14:solidFill>
              <w14:schemeClr w14:val="tx1"/>
            </w14:solidFill>
          </w14:textFill>
        </w:rPr>
        <w:t>。</w:t>
      </w:r>
    </w:p>
    <w:p w14:paraId="1B6E590C">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三、质量技术标准</w:t>
      </w:r>
    </w:p>
    <w:p w14:paraId="76BEEC1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乙方提供的服务和产品性能及质量有国家标准的应符合国家标准。无国家标准的应符合行业标准或企业标准，并满足采购文件要求，实现</w:t>
      </w:r>
      <w:r>
        <w:rPr>
          <w:rFonts w:hint="eastAsia" w:eastAsia="方正仿宋_GBK"/>
          <w:color w:val="000000" w:themeColor="text1"/>
          <w:sz w:val="24"/>
          <w:szCs w:val="24"/>
          <w:lang w:eastAsia="zh-CN"/>
          <w14:textFill>
            <w14:solidFill>
              <w14:schemeClr w14:val="tx1"/>
            </w14:solidFill>
          </w14:textFill>
        </w:rPr>
        <w:t>投标</w:t>
      </w:r>
      <w:r>
        <w:rPr>
          <w:rFonts w:eastAsia="方正仿宋_GBK"/>
          <w:color w:val="000000" w:themeColor="text1"/>
          <w:sz w:val="24"/>
          <w:szCs w:val="24"/>
          <w14:textFill>
            <w14:solidFill>
              <w14:schemeClr w14:val="tx1"/>
            </w14:solidFill>
          </w14:textFill>
        </w:rPr>
        <w:t>文件承诺条款。</w:t>
      </w:r>
    </w:p>
    <w:p w14:paraId="483E0792">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四</w:t>
      </w:r>
      <w:r>
        <w:rPr>
          <w:rFonts w:ascii="方正黑体_GBK" w:hAnsi="方正黑体_GBK" w:eastAsia="方正黑体_GBK" w:cs="方正黑体_GBK"/>
          <w:b w:val="0"/>
          <w:bCs w:val="0"/>
          <w:color w:val="000000" w:themeColor="text1"/>
          <w:sz w:val="24"/>
          <w:szCs w:val="24"/>
          <w14:textFill>
            <w14:solidFill>
              <w14:schemeClr w14:val="tx1"/>
            </w14:solidFill>
          </w14:textFill>
        </w:rPr>
        <w:t>、验收</w:t>
      </w:r>
    </w:p>
    <w:p w14:paraId="7227E64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在货物进场并安装调试后，甲方根据技术要求组织验收，验收内容包括：型号、规格、数量、外观质量、及货物包装是否完好，安装调试是否合格，所提供货物的装箱清单、原厂保修卡、随机资料及配件、随机工具等是否齐全。货物最终验收后，乙方应对由于设计、工艺或材料的缺陷而发生的任何不足或故障负责，并承担由此引起的一切后果。</w:t>
      </w:r>
    </w:p>
    <w:p w14:paraId="5009ED4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（二）甲方组建验收小组，按约定的时间组织验收，并出具验收报告。</w:t>
      </w:r>
    </w:p>
    <w:p w14:paraId="74A69F0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（三）验收条件及标准：乙方在规定时间内完成设备采购、安装和调试，提出书面申请由</w:t>
      </w:r>
      <w:r>
        <w:rPr>
          <w:rFonts w:hint="eastAsia" w:eastAsia="方正仿宋_GBK"/>
          <w:color w:val="000000" w:themeColor="text1"/>
          <w:sz w:val="24"/>
          <w:szCs w:val="24"/>
          <w:lang w:eastAsia="zh-CN"/>
          <w14:textFill>
            <w14:solidFill>
              <w14:schemeClr w14:val="tx1"/>
            </w14:solidFill>
          </w14:textFill>
        </w:rPr>
        <w:t>甲方</w:t>
      </w:r>
      <w:r>
        <w:rPr>
          <w:rFonts w:eastAsia="方正仿宋_GBK"/>
          <w:color w:val="000000" w:themeColor="text1"/>
          <w:sz w:val="24"/>
          <w:szCs w:val="24"/>
          <w14:textFill>
            <w14:solidFill>
              <w14:schemeClr w14:val="tx1"/>
            </w14:solidFill>
          </w14:textFill>
        </w:rPr>
        <w:t>组织</w:t>
      </w:r>
      <w:r>
        <w:rPr>
          <w:rFonts w:hint="eastAsia" w:eastAsia="方正仿宋_GBK"/>
          <w:color w:val="000000" w:themeColor="text1"/>
          <w:sz w:val="24"/>
          <w:szCs w:val="24"/>
          <w14:textFill>
            <w14:solidFill>
              <w14:schemeClr w14:val="tx1"/>
            </w14:solidFill>
          </w14:textFill>
        </w:rPr>
        <w:t>初次</w:t>
      </w:r>
      <w:r>
        <w:rPr>
          <w:rFonts w:eastAsia="方正仿宋_GBK"/>
          <w:color w:val="000000" w:themeColor="text1"/>
          <w:sz w:val="24"/>
          <w:szCs w:val="24"/>
          <w14:textFill>
            <w14:solidFill>
              <w14:schemeClr w14:val="tx1"/>
            </w14:solidFill>
          </w14:textFill>
        </w:rPr>
        <w:t>验收。甲方组织相关专家或权威鉴定单位进行验收，对照招标文件提供的采购清单，对采购产品进行检查验收。如经检查或检测，不符合招标文件要求的，甲方有权拒收，乙方将无条件整改，由此产生的一切后果由乙方承担</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售后服务期满乙方向甲方提交项目验收技术资料以及终验申请单，甲方收到申请后3个工作日组织终验且验收无问题后签署终验单。</w:t>
      </w:r>
    </w:p>
    <w:p w14:paraId="2818070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（四）甲方在验收中，如发现有与合同规定不符的，应在向乙方提出书面意见，不出具验收报告，乙方在接到甲方书面意见后，应在 3 天内予以处理。</w:t>
      </w:r>
    </w:p>
    <w:p w14:paraId="7487FDCA">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五</w:t>
      </w:r>
      <w:r>
        <w:rPr>
          <w:rFonts w:ascii="方正黑体_GBK" w:hAnsi="方正黑体_GBK" w:eastAsia="方正黑体_GBK" w:cs="方正黑体_GBK"/>
          <w:b w:val="0"/>
          <w:bCs w:val="0"/>
          <w:color w:val="000000" w:themeColor="text1"/>
          <w:sz w:val="24"/>
          <w:szCs w:val="24"/>
          <w14:textFill>
            <w14:solidFill>
              <w14:schemeClr w14:val="tx1"/>
            </w14:solidFill>
          </w14:textFill>
        </w:rPr>
        <w:t>、付款方式：</w:t>
      </w:r>
    </w:p>
    <w:p w14:paraId="0B32BA8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合同签订后，在收到乙方发票后10个工作日内支付合同总额30%的预付款；初验完成且收到乙方发票后10个工作日内支付至合同总额80%；服务期结束，乙方提供项目完整技术文档，甲方组织终验并出具终验报告，在收到乙方发票后10个工作日内，支付余款（不计息）。</w:t>
      </w:r>
    </w:p>
    <w:p w14:paraId="4E8605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注：1、在签订合同时，</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乙方</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明确表示无需预付款或者主动要求降低预付款比例的金额，</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可不适用预付款规定。</w:t>
      </w:r>
    </w:p>
    <w:p w14:paraId="29D36D3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eastAsia="方正仿宋_GBK"/>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2.对于满足合同约定支付条件的，自收到发票后10个工作日内将资金支付到合同约定的</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乙方</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账户或</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乙方</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数字人民币账户。</w:t>
      </w:r>
    </w:p>
    <w:p w14:paraId="6586D728">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六</w:t>
      </w:r>
      <w:r>
        <w:rPr>
          <w:rFonts w:ascii="方正黑体_GBK" w:hAnsi="方正黑体_GBK" w:eastAsia="方正黑体_GBK" w:cs="方正黑体_GBK"/>
          <w:b w:val="0"/>
          <w:bCs w:val="0"/>
          <w:color w:val="000000" w:themeColor="text1"/>
          <w:sz w:val="24"/>
          <w:szCs w:val="24"/>
          <w14:textFill>
            <w14:solidFill>
              <w14:schemeClr w14:val="tx1"/>
            </w14:solidFill>
          </w14:textFill>
        </w:rPr>
        <w:t>、售后服务</w:t>
      </w:r>
    </w:p>
    <w:p w14:paraId="2ED453FF">
      <w:pPr>
        <w:spacing w:line="480" w:lineRule="exact"/>
        <w:ind w:firstLine="480" w:firstLineChars="200"/>
        <w:rPr>
          <w:rFonts w:hint="default"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(一）本项目售后服务期为36个月（自初验验收合格之日起计算）</w:t>
      </w:r>
      <w:r>
        <w:rPr>
          <w:rFonts w:hint="default" w:eastAsia="方正仿宋_GBK"/>
          <w:color w:val="000000" w:themeColor="text1"/>
          <w:sz w:val="24"/>
          <w:szCs w:val="24"/>
          <w:lang w:val="en-US" w:eastAsia="zh-CN"/>
          <w14:textFill>
            <w14:solidFill>
              <w14:schemeClr w14:val="tx1"/>
            </w14:solidFill>
          </w14:textFill>
        </w:rPr>
        <w:t>，</w:t>
      </w:r>
      <w:r>
        <w:rPr>
          <w:rFonts w:hint="eastAsia" w:eastAsia="方正仿宋_GBK"/>
          <w:color w:val="000000" w:themeColor="text1"/>
          <w:sz w:val="24"/>
          <w:szCs w:val="24"/>
          <w:lang w:val="en-US" w:eastAsia="zh-CN"/>
          <w14:textFill>
            <w14:solidFill>
              <w14:schemeClr w14:val="tx1"/>
            </w14:solidFill>
          </w14:textFill>
        </w:rPr>
        <w:t>售后服务期内</w:t>
      </w:r>
      <w:r>
        <w:rPr>
          <w:rFonts w:hint="default" w:eastAsia="方正仿宋_GBK"/>
          <w:color w:val="000000" w:themeColor="text1"/>
          <w:sz w:val="24"/>
          <w:szCs w:val="24"/>
          <w:lang w:val="en-US" w:eastAsia="zh-CN"/>
          <w14:textFill>
            <w14:solidFill>
              <w14:schemeClr w14:val="tx1"/>
            </w14:solidFill>
          </w14:textFill>
        </w:rPr>
        <w:t>所有设施设备的更换、维修均为免费（包括非故意人为损坏），监测设备电费、</w:t>
      </w:r>
      <w:r>
        <w:rPr>
          <w:rFonts w:hint="eastAsia" w:eastAsia="方正仿宋_GBK"/>
          <w:color w:val="000000" w:themeColor="text1"/>
          <w:sz w:val="24"/>
          <w:szCs w:val="24"/>
          <w:lang w:val="en-US" w:eastAsia="zh-CN"/>
          <w14:textFill>
            <w14:solidFill>
              <w14:schemeClr w14:val="tx1"/>
            </w14:solidFill>
          </w14:textFill>
        </w:rPr>
        <w:t>网络</w:t>
      </w:r>
      <w:r>
        <w:rPr>
          <w:rFonts w:hint="default" w:eastAsia="方正仿宋_GBK"/>
          <w:color w:val="000000" w:themeColor="text1"/>
          <w:sz w:val="24"/>
          <w:szCs w:val="24"/>
          <w:lang w:val="en-US" w:eastAsia="zh-CN"/>
          <w14:textFill>
            <w14:solidFill>
              <w14:schemeClr w14:val="tx1"/>
            </w14:solidFill>
          </w14:textFill>
        </w:rPr>
        <w:t>使用费用以及相关配件的维修、保养费用由</w:t>
      </w:r>
      <w:r>
        <w:rPr>
          <w:rFonts w:hint="eastAsia" w:eastAsia="方正仿宋_GBK"/>
          <w:color w:val="000000" w:themeColor="text1"/>
          <w:sz w:val="24"/>
          <w:szCs w:val="24"/>
          <w:lang w:val="en-US" w:eastAsia="zh-CN"/>
          <w14:textFill>
            <w14:solidFill>
              <w14:schemeClr w14:val="tx1"/>
            </w14:solidFill>
          </w14:textFill>
        </w:rPr>
        <w:t>乙方</w:t>
      </w:r>
      <w:r>
        <w:rPr>
          <w:rFonts w:hint="default" w:eastAsia="方正仿宋_GBK"/>
          <w:color w:val="000000" w:themeColor="text1"/>
          <w:sz w:val="24"/>
          <w:szCs w:val="24"/>
          <w:lang w:val="en-US" w:eastAsia="zh-CN"/>
          <w14:textFill>
            <w14:solidFill>
              <w14:schemeClr w14:val="tx1"/>
            </w14:solidFill>
          </w14:textFill>
        </w:rPr>
        <w:t>免费提供，所有的服务产生的费用均不再收取；服务期满后，</w:t>
      </w:r>
      <w:r>
        <w:rPr>
          <w:rFonts w:hint="eastAsia" w:eastAsia="方正仿宋_GBK"/>
          <w:color w:val="000000" w:themeColor="text1"/>
          <w:sz w:val="24"/>
          <w:szCs w:val="24"/>
          <w:lang w:val="en-US" w:eastAsia="zh-CN"/>
          <w14:textFill>
            <w14:solidFill>
              <w14:schemeClr w14:val="tx1"/>
            </w14:solidFill>
          </w14:textFill>
        </w:rPr>
        <w:t>乙方</w:t>
      </w:r>
      <w:r>
        <w:rPr>
          <w:rFonts w:hint="default" w:eastAsia="方正仿宋_GBK"/>
          <w:color w:val="000000" w:themeColor="text1"/>
          <w:sz w:val="24"/>
          <w:szCs w:val="24"/>
          <w:lang w:val="en-US" w:eastAsia="zh-CN"/>
          <w14:textFill>
            <w14:solidFill>
              <w14:schemeClr w14:val="tx1"/>
            </w14:solidFill>
          </w14:textFill>
        </w:rPr>
        <w:t>提供终生服务，保证零配件的供给，按投标文件承诺的折扣予以保障。</w:t>
      </w:r>
    </w:p>
    <w:p w14:paraId="211735B9">
      <w:pPr>
        <w:spacing w:line="480" w:lineRule="exact"/>
        <w:ind w:firstLine="480" w:firstLineChars="200"/>
        <w:rPr>
          <w:rFonts w:hint="default"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(二）</w:t>
      </w:r>
      <w:r>
        <w:rPr>
          <w:rFonts w:hint="default" w:eastAsia="方正仿宋_GBK"/>
          <w:color w:val="000000" w:themeColor="text1"/>
          <w:sz w:val="24"/>
          <w:szCs w:val="24"/>
          <w:lang w:val="en-US" w:eastAsia="zh-CN"/>
          <w14:textFill>
            <w14:solidFill>
              <w14:schemeClr w14:val="tx1"/>
            </w14:solidFill>
          </w14:textFill>
        </w:rPr>
        <w:t>售后服务保障不力的，</w:t>
      </w:r>
      <w:r>
        <w:rPr>
          <w:rFonts w:hint="eastAsia" w:eastAsia="方正仿宋_GBK"/>
          <w:color w:val="000000" w:themeColor="text1"/>
          <w:sz w:val="24"/>
          <w:szCs w:val="24"/>
          <w:lang w:val="en-US" w:eastAsia="zh-CN"/>
          <w14:textFill>
            <w14:solidFill>
              <w14:schemeClr w14:val="tx1"/>
            </w14:solidFill>
          </w14:textFill>
        </w:rPr>
        <w:t>甲方</w:t>
      </w:r>
      <w:r>
        <w:rPr>
          <w:rFonts w:hint="default" w:eastAsia="方正仿宋_GBK"/>
          <w:color w:val="000000" w:themeColor="text1"/>
          <w:sz w:val="24"/>
          <w:szCs w:val="24"/>
          <w:lang w:val="en-US" w:eastAsia="zh-CN"/>
          <w14:textFill>
            <w14:solidFill>
              <w14:schemeClr w14:val="tx1"/>
            </w14:solidFill>
          </w14:textFill>
        </w:rPr>
        <w:t>有权终止合同，停止支付项目相关费用。</w:t>
      </w:r>
    </w:p>
    <w:p w14:paraId="5CB146B8">
      <w:pPr>
        <w:spacing w:line="480" w:lineRule="exact"/>
        <w:ind w:firstLine="480" w:firstLineChars="200"/>
        <w:rPr>
          <w:rFonts w:hint="default"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(三）</w:t>
      </w:r>
      <w:r>
        <w:rPr>
          <w:rFonts w:hint="default" w:eastAsia="方正仿宋_GBK"/>
          <w:color w:val="000000" w:themeColor="text1"/>
          <w:sz w:val="24"/>
          <w:szCs w:val="24"/>
          <w:lang w:val="en-US" w:eastAsia="zh-CN"/>
          <w14:textFill>
            <w14:solidFill>
              <w14:schemeClr w14:val="tx1"/>
            </w14:solidFill>
          </w14:textFill>
        </w:rPr>
        <w:t>需求调整和完善。售后服务期内</w:t>
      </w:r>
      <w:r>
        <w:rPr>
          <w:rFonts w:hint="eastAsia" w:eastAsia="方正仿宋_GBK"/>
          <w:color w:val="000000" w:themeColor="text1"/>
          <w:sz w:val="24"/>
          <w:szCs w:val="24"/>
          <w:lang w:val="en-US" w:eastAsia="zh-CN"/>
          <w14:textFill>
            <w14:solidFill>
              <w14:schemeClr w14:val="tx1"/>
            </w14:solidFill>
          </w14:textFill>
        </w:rPr>
        <w:t>乙方</w:t>
      </w:r>
      <w:r>
        <w:rPr>
          <w:rFonts w:hint="default" w:eastAsia="方正仿宋_GBK"/>
          <w:color w:val="000000" w:themeColor="text1"/>
          <w:sz w:val="24"/>
          <w:szCs w:val="24"/>
          <w:lang w:val="en-US" w:eastAsia="zh-CN"/>
          <w14:textFill>
            <w14:solidFill>
              <w14:schemeClr w14:val="tx1"/>
            </w14:solidFill>
          </w14:textFill>
        </w:rPr>
        <w:t>应对</w:t>
      </w:r>
      <w:r>
        <w:rPr>
          <w:rFonts w:hint="eastAsia" w:eastAsia="方正仿宋_GBK"/>
          <w:color w:val="000000" w:themeColor="text1"/>
          <w:sz w:val="24"/>
          <w:szCs w:val="24"/>
          <w:lang w:val="en-US" w:eastAsia="zh-CN"/>
          <w14:textFill>
            <w14:solidFill>
              <w14:schemeClr w14:val="tx1"/>
            </w14:solidFill>
          </w14:textFill>
        </w:rPr>
        <w:t>甲方</w:t>
      </w:r>
      <w:r>
        <w:rPr>
          <w:rFonts w:hint="default" w:eastAsia="方正仿宋_GBK"/>
          <w:color w:val="000000" w:themeColor="text1"/>
          <w:sz w:val="24"/>
          <w:szCs w:val="24"/>
          <w:lang w:val="en-US" w:eastAsia="zh-CN"/>
          <w14:textFill>
            <w14:solidFill>
              <w14:schemeClr w14:val="tx1"/>
            </w14:solidFill>
          </w14:textFill>
        </w:rPr>
        <w:t>提出具体需求进行调整和完善。提供定期现场巡检和回访。</w:t>
      </w:r>
    </w:p>
    <w:p w14:paraId="74698CAB">
      <w:pPr>
        <w:spacing w:line="480" w:lineRule="exact"/>
        <w:ind w:firstLine="480" w:firstLineChars="200"/>
        <w:rPr>
          <w:rFonts w:hint="default"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(四）</w:t>
      </w:r>
      <w:r>
        <w:rPr>
          <w:rFonts w:hint="default" w:eastAsia="方正仿宋_GBK"/>
          <w:color w:val="000000" w:themeColor="text1"/>
          <w:sz w:val="24"/>
          <w:szCs w:val="24"/>
          <w:lang w:val="en-US" w:eastAsia="zh-CN"/>
          <w14:textFill>
            <w14:solidFill>
              <w14:schemeClr w14:val="tx1"/>
            </w14:solidFill>
          </w14:textFill>
        </w:rPr>
        <w:t>故障及时响应。</w:t>
      </w:r>
      <w:r>
        <w:rPr>
          <w:rFonts w:hint="eastAsia" w:eastAsia="方正仿宋_GBK"/>
          <w:color w:val="000000" w:themeColor="text1"/>
          <w:sz w:val="24"/>
          <w:szCs w:val="24"/>
          <w:lang w:val="en-US" w:eastAsia="zh-CN"/>
          <w14:textFill>
            <w14:solidFill>
              <w14:schemeClr w14:val="tx1"/>
            </w14:solidFill>
          </w14:textFill>
        </w:rPr>
        <w:t>乙方须</w:t>
      </w:r>
      <w:r>
        <w:rPr>
          <w:rFonts w:hint="default" w:eastAsia="方正仿宋_GBK"/>
          <w:color w:val="000000" w:themeColor="text1"/>
          <w:sz w:val="24"/>
          <w:szCs w:val="24"/>
          <w:lang w:val="en-US" w:eastAsia="zh-CN"/>
          <w14:textFill>
            <w14:solidFill>
              <w14:schemeClr w14:val="tx1"/>
            </w14:solidFill>
          </w14:textFill>
        </w:rPr>
        <w:t>成立专门的本地维护服务和技术支持小组，设备运行异常时，在接到</w:t>
      </w:r>
      <w:r>
        <w:rPr>
          <w:rFonts w:hint="eastAsia" w:eastAsia="方正仿宋_GBK"/>
          <w:color w:val="000000" w:themeColor="text1"/>
          <w:sz w:val="24"/>
          <w:szCs w:val="24"/>
          <w:lang w:val="en-US" w:eastAsia="zh-CN"/>
          <w14:textFill>
            <w14:solidFill>
              <w14:schemeClr w14:val="tx1"/>
            </w14:solidFill>
          </w14:textFill>
        </w:rPr>
        <w:t>甲方</w:t>
      </w:r>
      <w:r>
        <w:rPr>
          <w:rFonts w:hint="default" w:eastAsia="方正仿宋_GBK"/>
          <w:color w:val="000000" w:themeColor="text1"/>
          <w:sz w:val="24"/>
          <w:szCs w:val="24"/>
          <w:lang w:val="en-US" w:eastAsia="zh-CN"/>
          <w14:textFill>
            <w14:solidFill>
              <w14:schemeClr w14:val="tx1"/>
            </w14:solidFill>
          </w14:textFill>
        </w:rPr>
        <w:t>通知后，须全力协助</w:t>
      </w:r>
      <w:r>
        <w:rPr>
          <w:rFonts w:hint="eastAsia" w:eastAsia="方正仿宋_GBK"/>
          <w:color w:val="000000" w:themeColor="text1"/>
          <w:sz w:val="24"/>
          <w:szCs w:val="24"/>
          <w:lang w:val="en-US" w:eastAsia="zh-CN"/>
          <w14:textFill>
            <w14:solidFill>
              <w14:schemeClr w14:val="tx1"/>
            </w14:solidFill>
          </w14:textFill>
        </w:rPr>
        <w:t>甲方</w:t>
      </w:r>
      <w:r>
        <w:rPr>
          <w:rFonts w:hint="default" w:eastAsia="方正仿宋_GBK"/>
          <w:color w:val="000000" w:themeColor="text1"/>
          <w:sz w:val="24"/>
          <w:szCs w:val="24"/>
          <w:lang w:val="en-US" w:eastAsia="zh-CN"/>
          <w14:textFill>
            <w14:solidFill>
              <w14:schemeClr w14:val="tx1"/>
            </w14:solidFill>
          </w14:textFill>
        </w:rPr>
        <w:t>，使系统尽快恢复正常。具体为：</w:t>
      </w:r>
      <w:r>
        <w:rPr>
          <w:rFonts w:hint="eastAsia" w:eastAsia="方正仿宋_GBK"/>
          <w:color w:val="000000" w:themeColor="text1"/>
          <w:sz w:val="24"/>
          <w:szCs w:val="24"/>
          <w:lang w:val="en-US" w:eastAsia="zh-CN"/>
          <w14:textFill>
            <w14:solidFill>
              <w14:schemeClr w14:val="tx1"/>
            </w14:solidFill>
          </w14:textFill>
        </w:rPr>
        <w:t>乙方</w:t>
      </w:r>
      <w:r>
        <w:rPr>
          <w:rFonts w:hint="default" w:eastAsia="方正仿宋_GBK"/>
          <w:color w:val="000000" w:themeColor="text1"/>
          <w:sz w:val="24"/>
          <w:szCs w:val="24"/>
          <w:lang w:val="en-US" w:eastAsia="zh-CN"/>
          <w14:textFill>
            <w14:solidFill>
              <w14:schemeClr w14:val="tx1"/>
            </w14:solidFill>
          </w14:textFill>
        </w:rPr>
        <w:t>必须提供7×24小时的响应服务，保证技术人员及时到场，及时解决故障或启用应急措施保证设备正常运行。</w:t>
      </w:r>
    </w:p>
    <w:p w14:paraId="293F56EB">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七</w:t>
      </w:r>
      <w:r>
        <w:rPr>
          <w:rFonts w:ascii="方正黑体_GBK" w:hAnsi="方正黑体_GBK" w:eastAsia="方正黑体_GBK" w:cs="方正黑体_GBK"/>
          <w:b w:val="0"/>
          <w:bCs w:val="0"/>
          <w:color w:val="000000" w:themeColor="text1"/>
          <w:sz w:val="24"/>
          <w:szCs w:val="24"/>
          <w14:textFill>
            <w14:solidFill>
              <w14:schemeClr w14:val="tx1"/>
            </w14:solidFill>
          </w14:textFill>
        </w:rPr>
        <w:t>、违约条款</w:t>
      </w:r>
    </w:p>
    <w:p w14:paraId="42273C5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（一）甲方无正当理由拒收货物、拒付货物款的，由甲方向乙方偿付合同总价的5%违约金。</w:t>
      </w:r>
    </w:p>
    <w:p w14:paraId="7DCB2CE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（二）甲方未按合同规定的期限向乙方支付货款的，每逾期1天甲方向乙方偿付欠款总额的5‰滞纳金，但累计滞纳金总额不超过欠款总额的5%。</w:t>
      </w:r>
    </w:p>
    <w:p w14:paraId="3FCC439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（三）如乙方不能交付货物、完成安装调试的；甲方有权单方解除合同，同时乙方应向甲方支付合同总价20%的违约金。 </w:t>
      </w:r>
    </w:p>
    <w:p w14:paraId="75B3D8A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（四）乙方逾期交付的，每逾期1天，乙方向甲方偿付合同总额的5‰的滞纳金。如乙方逾期交付达10天，甲方有权解除合同，解除合同的通知自到达乙方时生效。 </w:t>
      </w:r>
    </w:p>
    <w:p w14:paraId="20E5463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（五）乙方所交付的货物品种、型号、规格不符合合同规定的，甲方有权拒收。甲方拒收的，乙方应向甲方支付货款总额5%的违约金。</w:t>
      </w:r>
    </w:p>
    <w:p w14:paraId="7F464BF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六）在乙方承诺的或国家规定的质量保证期内（取两者中最长的期限），如经乙方两次维修或更换，货物仍不能达到合同约定的质量标准，甲方有权退货，乙方应退回全部货款，并按第3款处理，同时，乙方还须赔偿甲方因此遭受的损失。 </w:t>
      </w:r>
    </w:p>
    <w:p w14:paraId="740C81A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（七）乙方未按本合同的规定和“服务承诺”提供伴随服务/售后服务的，应按合同总价款的5%向甲方承担违约责任。 </w:t>
      </w:r>
    </w:p>
    <w:p w14:paraId="0331576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（八）乙方在承担上述4-7款一项或多项违约责任后，仍应继续履行合同规定的义务（甲方解除合同的除外）。甲方未能及时追究乙方的任何一项违约责任并不表明甲方放弃追究乙方该项或其他违约责任。 </w:t>
      </w:r>
    </w:p>
    <w:p w14:paraId="610770D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（九）乙方投标属虚假承诺，或经权威部门监测提供的货物不能满足采购文件要求，或是由于乙方的过错造成合同无法继续履行的，甲方有权解除合同，同时乙方还须向甲方支付不少于合同总价30%赔偿金。 </w:t>
      </w:r>
    </w:p>
    <w:p w14:paraId="07FA308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（十）非因甲方原因，乙方不履行本合同规定的义务，致使工作延误，甲方有权要求其强制履行或解除合同，并要求乙方等额赔偿由此造成的一切损失。</w:t>
      </w:r>
    </w:p>
    <w:p w14:paraId="17CCDEA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（十一）本项目不得转让分包，如有发生，无条件清理退场，所造成的一切损失由乙方负责。</w:t>
      </w:r>
    </w:p>
    <w:p w14:paraId="26EA8F4E">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八</w:t>
      </w:r>
      <w:r>
        <w:rPr>
          <w:rFonts w:ascii="方正黑体_GBK" w:hAnsi="方正黑体_GBK" w:eastAsia="方正黑体_GBK" w:cs="方正黑体_GBK"/>
          <w:b w:val="0"/>
          <w:bCs w:val="0"/>
          <w:color w:val="000000" w:themeColor="text1"/>
          <w:sz w:val="24"/>
          <w:szCs w:val="24"/>
          <w14:textFill>
            <w14:solidFill>
              <w14:schemeClr w14:val="tx1"/>
            </w14:solidFill>
          </w14:textFill>
        </w:rPr>
        <w:t>、知识产权</w:t>
      </w:r>
    </w:p>
    <w:p w14:paraId="6E15C97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14:paraId="3B591052">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九</w:t>
      </w:r>
      <w:r>
        <w:rPr>
          <w:rFonts w:ascii="方正黑体_GBK" w:hAnsi="方正黑体_GBK" w:eastAsia="方正黑体_GBK" w:cs="方正黑体_GBK"/>
          <w:b w:val="0"/>
          <w:bCs w:val="0"/>
          <w:color w:val="000000" w:themeColor="text1"/>
          <w:sz w:val="24"/>
          <w:szCs w:val="24"/>
          <w14:textFill>
            <w14:solidFill>
              <w14:schemeClr w14:val="tx1"/>
            </w14:solidFill>
          </w14:textFill>
        </w:rPr>
        <w:t>、合同生效</w:t>
      </w:r>
    </w:p>
    <w:p w14:paraId="2268181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本合同经甲方、乙方签字盖章后生效，合同签订的内容不能超出采购文件和响应文件的实质性内容。</w:t>
      </w:r>
    </w:p>
    <w:p w14:paraId="23943175">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十、合同的组成部分</w:t>
      </w:r>
    </w:p>
    <w:p w14:paraId="7476F20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本合同条款、成交通知书、采购文件、响应文件及</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 xml:space="preserve">在报价时的书面承诺等构成合同的组成部分。 </w:t>
      </w:r>
    </w:p>
    <w:p w14:paraId="50E5CB37">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一</w:t>
      </w:r>
      <w:r>
        <w:rPr>
          <w:rFonts w:ascii="方正黑体_GBK" w:hAnsi="方正黑体_GBK" w:eastAsia="方正黑体_GBK" w:cs="方正黑体_GBK"/>
          <w:b w:val="0"/>
          <w:bCs w:val="0"/>
          <w:color w:val="000000" w:themeColor="text1"/>
          <w:sz w:val="24"/>
          <w:szCs w:val="24"/>
          <w14:textFill>
            <w14:solidFill>
              <w14:schemeClr w14:val="tx1"/>
            </w14:solidFill>
          </w14:textFill>
        </w:rPr>
        <w:t>、合同份数</w:t>
      </w:r>
    </w:p>
    <w:p w14:paraId="0E54F04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本合同一式陆份，以中文书写，甲方执肆份、乙方执贰份。</w:t>
      </w:r>
    </w:p>
    <w:p w14:paraId="208FC5C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十</w:t>
      </w:r>
      <w:r>
        <w:rPr>
          <w:rFonts w:hint="eastAsia" w:eastAsia="方正仿宋_GBK"/>
          <w:color w:val="000000" w:themeColor="text1"/>
          <w:sz w:val="24"/>
          <w:szCs w:val="24"/>
          <w:lang w:eastAsia="zh-CN"/>
          <w14:textFill>
            <w14:solidFill>
              <w14:schemeClr w14:val="tx1"/>
            </w14:solidFill>
          </w14:textFill>
        </w:rPr>
        <w:t>二</w:t>
      </w:r>
      <w:r>
        <w:rPr>
          <w:rFonts w:eastAsia="方正仿宋_GBK"/>
          <w:color w:val="000000" w:themeColor="text1"/>
          <w:sz w:val="24"/>
          <w:szCs w:val="24"/>
          <w14:textFill>
            <w14:solidFill>
              <w14:schemeClr w14:val="tx1"/>
            </w14:solidFill>
          </w14:textFill>
        </w:rPr>
        <w:t>、本合同一切未尽事宜，按民法典有关规定执行，无相关规定的，由甲乙双方协商解决。</w:t>
      </w:r>
    </w:p>
    <w:p w14:paraId="1F056DFE">
      <w:pPr>
        <w:spacing w:beforeLines="50" w:afterLines="50" w:line="360" w:lineRule="auto"/>
        <w:jc w:val="center"/>
        <w:rPr>
          <w:rFonts w:ascii="方正黑体_GBK" w:hAnsi="方正黑体_GBK" w:eastAsia="方正黑体_GBK" w:cs="方正黑体_GBK"/>
          <w:bCs/>
          <w:color w:val="000000" w:themeColor="text1"/>
          <w:sz w:val="24"/>
          <w:szCs w:val="24"/>
          <w14:textFill>
            <w14:solidFill>
              <w14:schemeClr w14:val="tx1"/>
            </w14:solidFill>
          </w14:textFill>
        </w:rPr>
      </w:pPr>
      <w:r>
        <w:rPr>
          <w:rFonts w:hint="eastAsia" w:ascii="方正黑体_GBK" w:hAnsi="方正黑体_GBK" w:eastAsia="方正黑体_GBK" w:cs="方正黑体_GBK"/>
          <w:bCs/>
          <w:color w:val="000000" w:themeColor="text1"/>
          <w:sz w:val="24"/>
          <w:szCs w:val="24"/>
          <w14:textFill>
            <w14:solidFill>
              <w14:schemeClr w14:val="tx1"/>
            </w14:solidFill>
          </w14:textFill>
        </w:rPr>
        <w:t>通用条款</w:t>
      </w:r>
    </w:p>
    <w:p w14:paraId="14781EBF">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三</w:t>
      </w:r>
      <w:r>
        <w:rPr>
          <w:rFonts w:ascii="方正黑体_GBK" w:hAnsi="方正黑体_GBK" w:eastAsia="方正黑体_GBK" w:cs="方正黑体_GBK"/>
          <w:b w:val="0"/>
          <w:bCs w:val="0"/>
          <w:color w:val="000000" w:themeColor="text1"/>
          <w:sz w:val="24"/>
          <w:szCs w:val="24"/>
          <w14:textFill>
            <w14:solidFill>
              <w14:schemeClr w14:val="tx1"/>
            </w14:solidFill>
          </w14:textFill>
        </w:rPr>
        <w:t>、词语涵义</w:t>
      </w:r>
    </w:p>
    <w:p w14:paraId="362D714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（一）合同：甲乙双方签署的、合同格式中载明的甲方与乙方所达成的协议，包括所有的附件、附录和构成合同的所有文件。</w:t>
      </w:r>
    </w:p>
    <w:p w14:paraId="1717032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（二）合同价：根据合同规定，乙方在正确地完全履行合同义务后甲方应支付给卖方的价格。</w:t>
      </w:r>
    </w:p>
    <w:p w14:paraId="1EC02B2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（三）货物：乙方根据合同规定须向买方提供的一切设备、机械、仪表、备件、工具、手册和其他技术资料及其他材料。</w:t>
      </w:r>
    </w:p>
    <w:p w14:paraId="42E23F7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（四）服务：根据合同规定甲方承担与供货有关的辅助服务，如运输、保险以及其它的伴随服务，比如安装、调试、提供技术援助、培训和其他类似的乙方应承担的义务。</w:t>
      </w:r>
    </w:p>
    <w:p w14:paraId="35B6E21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（五）甲方：采购单位，即</w:t>
      </w:r>
      <w:r>
        <w:rPr>
          <w:rFonts w:hint="eastAsia" w:eastAsia="方正仿宋_GBK"/>
          <w:color w:val="000000" w:themeColor="text1"/>
          <w:sz w:val="24"/>
          <w:szCs w:val="24"/>
          <w:lang w:val="en-US" w:eastAsia="zh-CN"/>
          <w14:textFill>
            <w14:solidFill>
              <w14:schemeClr w14:val="tx1"/>
            </w14:solidFill>
          </w14:textFill>
        </w:rPr>
        <w:t xml:space="preserve"> </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eastAsia="方正仿宋_GBK"/>
          <w:color w:val="000000" w:themeColor="text1"/>
          <w:sz w:val="24"/>
          <w:szCs w:val="24"/>
          <w:u w:val="single"/>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w:t>
      </w:r>
    </w:p>
    <w:p w14:paraId="3D3DC39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（六）乙方：提供货物和服务的公司或实体，即</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eastAsia="方正仿宋_GBK"/>
          <w:color w:val="000000" w:themeColor="text1"/>
          <w:sz w:val="24"/>
          <w:szCs w:val="24"/>
          <w:u w:val="single"/>
          <w14:textFill>
            <w14:solidFill>
              <w14:schemeClr w14:val="tx1"/>
            </w14:solidFill>
          </w14:textFill>
        </w:rPr>
        <w:t xml:space="preserve"> </w:t>
      </w:r>
      <w:r>
        <w:rPr>
          <w:rFonts w:eastAsia="方正仿宋_GBK"/>
          <w:color w:val="000000" w:themeColor="text1"/>
          <w:sz w:val="24"/>
          <w:szCs w:val="24"/>
          <w14:textFill>
            <w14:solidFill>
              <w14:schemeClr w14:val="tx1"/>
            </w14:solidFill>
          </w14:textFill>
        </w:rPr>
        <w:t>。</w:t>
      </w:r>
    </w:p>
    <w:p w14:paraId="2B3CC16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（七）不可抗力：指不能预见、不能避免和不能克服的客观情况，如战争、动乱、空中飞行物体坠落或其它非甲乙方责任造成的爆炸、火灾，以及协议条款约定等级以上的风、雨、雪、地震等。</w:t>
      </w:r>
    </w:p>
    <w:p w14:paraId="32548506">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四</w:t>
      </w:r>
      <w:r>
        <w:rPr>
          <w:rFonts w:ascii="方正黑体_GBK" w:hAnsi="方正黑体_GBK" w:eastAsia="方正黑体_GBK" w:cs="方正黑体_GBK"/>
          <w:b w:val="0"/>
          <w:bCs w:val="0"/>
          <w:color w:val="000000" w:themeColor="text1"/>
          <w:sz w:val="24"/>
          <w:szCs w:val="24"/>
          <w14:textFill>
            <w14:solidFill>
              <w14:schemeClr w14:val="tx1"/>
            </w14:solidFill>
          </w14:textFill>
        </w:rPr>
        <w:t>、技术规格</w:t>
      </w:r>
    </w:p>
    <w:p w14:paraId="36C604B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乙方所提供货物的技术规格应与采购文件规定的技术规格以及所附的技术规格响应表相一致。</w:t>
      </w:r>
    </w:p>
    <w:p w14:paraId="1DCF296D">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五</w:t>
      </w:r>
      <w:r>
        <w:rPr>
          <w:rFonts w:ascii="方正黑体_GBK" w:hAnsi="方正黑体_GBK" w:eastAsia="方正黑体_GBK" w:cs="方正黑体_GBK"/>
          <w:b w:val="0"/>
          <w:bCs w:val="0"/>
          <w:color w:val="000000" w:themeColor="text1"/>
          <w:sz w:val="24"/>
          <w:szCs w:val="24"/>
          <w14:textFill>
            <w14:solidFill>
              <w14:schemeClr w14:val="tx1"/>
            </w14:solidFill>
          </w14:textFill>
        </w:rPr>
        <w:t>、专利权</w:t>
      </w:r>
    </w:p>
    <w:p w14:paraId="2CB1CD6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乙方应保证甲方在使用该货物或其任何一部分时不受第三方提出侵犯其专利权、商标权和工业设计权的起诉。一旦出现专利侵权，乙方应负全部责任。</w:t>
      </w:r>
    </w:p>
    <w:p w14:paraId="711EEC46">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六</w:t>
      </w:r>
      <w:r>
        <w:rPr>
          <w:rFonts w:ascii="方正黑体_GBK" w:hAnsi="方正黑体_GBK" w:eastAsia="方正黑体_GBK" w:cs="方正黑体_GBK"/>
          <w:b w:val="0"/>
          <w:bCs w:val="0"/>
          <w:color w:val="000000" w:themeColor="text1"/>
          <w:sz w:val="24"/>
          <w:szCs w:val="24"/>
          <w14:textFill>
            <w14:solidFill>
              <w14:schemeClr w14:val="tx1"/>
            </w14:solidFill>
          </w14:textFill>
        </w:rPr>
        <w:t>、包装要求</w:t>
      </w:r>
    </w:p>
    <w:p w14:paraId="2816692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除合同另有规定外，乙方提供的全部货物均按标准保护措施进行包装。该包装应适应于远距离运输、防潮、防震、防锈和防野蛮装卸，以确保货物安全无损运抵指定现场。由于包装不善所引起的货物锈蚀、损坏和损失均由卖方承担。</w:t>
      </w:r>
    </w:p>
    <w:p w14:paraId="743CC37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（二）每件包装箱内应附一份详细装箱单和质量合格标识。</w:t>
      </w:r>
    </w:p>
    <w:p w14:paraId="2AF65ED6">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七</w:t>
      </w:r>
      <w:r>
        <w:rPr>
          <w:rFonts w:ascii="方正黑体_GBK" w:hAnsi="方正黑体_GBK" w:eastAsia="方正黑体_GBK" w:cs="方正黑体_GBK"/>
          <w:b w:val="0"/>
          <w:bCs w:val="0"/>
          <w:color w:val="000000" w:themeColor="text1"/>
          <w:sz w:val="24"/>
          <w:szCs w:val="24"/>
          <w14:textFill>
            <w14:solidFill>
              <w14:schemeClr w14:val="tx1"/>
            </w14:solidFill>
          </w14:textFill>
        </w:rPr>
        <w:t>、装运条件</w:t>
      </w:r>
    </w:p>
    <w:p w14:paraId="3186A50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根据采购人指定地点，乙方负责安排运输，并承担运费。</w:t>
      </w:r>
    </w:p>
    <w:p w14:paraId="583EDA92">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八</w:t>
      </w:r>
      <w:r>
        <w:rPr>
          <w:rFonts w:ascii="方正黑体_GBK" w:hAnsi="方正黑体_GBK" w:eastAsia="方正黑体_GBK" w:cs="方正黑体_GBK"/>
          <w:b w:val="0"/>
          <w:bCs w:val="0"/>
          <w:color w:val="000000" w:themeColor="text1"/>
          <w:sz w:val="24"/>
          <w:szCs w:val="24"/>
          <w14:textFill>
            <w14:solidFill>
              <w14:schemeClr w14:val="tx1"/>
            </w14:solidFill>
          </w14:textFill>
        </w:rPr>
        <w:t>、付款</w:t>
      </w:r>
    </w:p>
    <w:p w14:paraId="4677546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（一）本合同以人民币付款。</w:t>
      </w:r>
    </w:p>
    <w:p w14:paraId="443BC1F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乙方应按照与甲方签订的合同规定交货。交货后乙方向甲方提供下列单据，按合同规定审核后付款：1、发票；2、制造厂家出具的质量检验证书等；3、装箱单；4、验收合格证书；5、买方加盖公章证明货物交付使用合格的验收合格报告。</w:t>
      </w:r>
    </w:p>
    <w:p w14:paraId="6FEB1A72">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十九</w:t>
      </w:r>
      <w:r>
        <w:rPr>
          <w:rFonts w:ascii="方正黑体_GBK" w:hAnsi="方正黑体_GBK" w:eastAsia="方正黑体_GBK" w:cs="方正黑体_GBK"/>
          <w:b w:val="0"/>
          <w:bCs w:val="0"/>
          <w:color w:val="000000" w:themeColor="text1"/>
          <w:sz w:val="24"/>
          <w:szCs w:val="24"/>
          <w14:textFill>
            <w14:solidFill>
              <w14:schemeClr w14:val="tx1"/>
            </w14:solidFill>
          </w14:textFill>
        </w:rPr>
        <w:t>、伴随服务</w:t>
      </w:r>
    </w:p>
    <w:p w14:paraId="4E837E7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乙方应按照国家有关规定和合同中所附的服务承诺提供服务，主要包括：</w:t>
      </w:r>
    </w:p>
    <w:p w14:paraId="255AA1D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（一）货物的现场安装；</w:t>
      </w:r>
    </w:p>
    <w:p w14:paraId="2848972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（二）提供货物组装和维修所需的工具；</w:t>
      </w:r>
    </w:p>
    <w:p w14:paraId="5E5970C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（三）在合同中乙方承诺的期限内对所提供货物实施运行监督、维修，该服务并不能免除乙方在质量保证期内应承担的义务；</w:t>
      </w:r>
    </w:p>
    <w:p w14:paraId="5AE1C19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（四）在项目交货现场就货物的安装、启动、运行、维护对使用方人员进行培训。</w:t>
      </w:r>
    </w:p>
    <w:p w14:paraId="732A66CD">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二十、质量保证</w:t>
      </w:r>
    </w:p>
    <w:p w14:paraId="4EE84A5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（一）乙方所提供的产品必须符合最新的国家标准和行业标准。</w:t>
      </w:r>
    </w:p>
    <w:p w14:paraId="1A51F67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并承担相应费用。</w:t>
      </w:r>
    </w:p>
    <w:p w14:paraId="404741FF">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一</w:t>
      </w:r>
      <w:r>
        <w:rPr>
          <w:rFonts w:ascii="方正黑体_GBK" w:hAnsi="方正黑体_GBK" w:eastAsia="方正黑体_GBK" w:cs="方正黑体_GBK"/>
          <w:b w:val="0"/>
          <w:bCs w:val="0"/>
          <w:color w:val="000000" w:themeColor="text1"/>
          <w:sz w:val="24"/>
          <w:szCs w:val="24"/>
          <w14:textFill>
            <w14:solidFill>
              <w14:schemeClr w14:val="tx1"/>
            </w14:solidFill>
          </w14:textFill>
        </w:rPr>
        <w:t>、检验</w:t>
      </w:r>
    </w:p>
    <w:p w14:paraId="22DE6DC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4ACFEFE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甲方在乙方交货后及时组织验收，如果货物的质量和规格与合同规定相符，甲方应及时填写验收表；如果货物的质量、规格与合同规定不符，或在质量保证期内发现货物是有缺陷的（包括潜在缺陷或使用不符合要求的材料），甲方应报请法定检验机构进行检查，有权凭其出具的检验报告向乙方提出索赔。</w:t>
      </w:r>
    </w:p>
    <w:p w14:paraId="33A70951">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二</w:t>
      </w:r>
      <w:r>
        <w:rPr>
          <w:rFonts w:ascii="方正黑体_GBK" w:hAnsi="方正黑体_GBK" w:eastAsia="方正黑体_GBK" w:cs="方正黑体_GBK"/>
          <w:b w:val="0"/>
          <w:bCs w:val="0"/>
          <w:color w:val="000000" w:themeColor="text1"/>
          <w:sz w:val="24"/>
          <w:szCs w:val="24"/>
          <w14:textFill>
            <w14:solidFill>
              <w14:schemeClr w14:val="tx1"/>
            </w14:solidFill>
          </w14:textFill>
        </w:rPr>
        <w:t>、索赔</w:t>
      </w:r>
    </w:p>
    <w:p w14:paraId="399E0E4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14:paraId="40FF0CB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1、乙方同意退货，按合同中规定的货币将货款退还给甲方，并承担由此发生的一切损失和费用，包括利息、银行手续费、运费、保险费、检验费、仓储费、装卸费以及为保护退回货物所需的其它必要费用。</w:t>
      </w:r>
    </w:p>
    <w:p w14:paraId="2C149C3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2、根据货物的低劣程度、损坏程度以及买方所遭损失的数额，乙方须降低货物的价格。</w:t>
      </w:r>
    </w:p>
    <w:p w14:paraId="3911BEA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用符合合同规定的规格、质量和性能要求的新零件、部件或设备来更换和或修补有缺陷的部分，乙方应承担一切费用和风险并负担甲方所蒙受的全部直接损失费用。同时应按合同规定对更换和修补件，相应延长质量保证期。</w:t>
      </w:r>
    </w:p>
    <w:p w14:paraId="348169E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（二）在甲方发出索赔通知后20天内，如乙方未作答复，上述索赔应视为已被接受，按照本合同规定的任何一种方法解决索赔事宜，甲方将采用法律手段解决索赔事宜。</w:t>
      </w:r>
    </w:p>
    <w:p w14:paraId="2E61CBDC">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三</w:t>
      </w:r>
      <w:r>
        <w:rPr>
          <w:rFonts w:ascii="方正黑体_GBK" w:hAnsi="方正黑体_GBK" w:eastAsia="方正黑体_GBK" w:cs="方正黑体_GBK"/>
          <w:b w:val="0"/>
          <w:bCs w:val="0"/>
          <w:color w:val="000000" w:themeColor="text1"/>
          <w:sz w:val="24"/>
          <w:szCs w:val="24"/>
          <w14:textFill>
            <w14:solidFill>
              <w14:schemeClr w14:val="tx1"/>
            </w14:solidFill>
          </w14:textFill>
        </w:rPr>
        <w:t>、误期赔偿</w:t>
      </w:r>
    </w:p>
    <w:p w14:paraId="643F592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除合同规定外，如果乙方没有按照合同规定的时间交货和提供服务，甲方将从货款中扣除误期赔偿费而不影响合同项目的其他补救方法，赔偿费按每周迟交货物交货价或未提供服务费用的0.5%计收，直至交货或提供服务为止，一周按7天计算，不足7天按一周计算。但误期赔偿费的最高限为误期货物或服务合同价的5%。一旦达到误期赔偿的最高限额，甲方可考虑终止合同。</w:t>
      </w:r>
    </w:p>
    <w:p w14:paraId="313F50B5">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四</w:t>
      </w:r>
      <w:r>
        <w:rPr>
          <w:rFonts w:ascii="方正黑体_GBK" w:hAnsi="方正黑体_GBK" w:eastAsia="方正黑体_GBK" w:cs="方正黑体_GBK"/>
          <w:b w:val="0"/>
          <w:bCs w:val="0"/>
          <w:color w:val="000000" w:themeColor="text1"/>
          <w:sz w:val="24"/>
          <w:szCs w:val="24"/>
          <w14:textFill>
            <w14:solidFill>
              <w14:schemeClr w14:val="tx1"/>
            </w14:solidFill>
          </w14:textFill>
        </w:rPr>
        <w:t>、不可抗力</w:t>
      </w:r>
    </w:p>
    <w:p w14:paraId="278FC75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120天以上时，双方应通过友好协商在合理的时间内达成进一步履行合同的协议。</w:t>
      </w:r>
    </w:p>
    <w:p w14:paraId="2EDEFD3F">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五</w:t>
      </w:r>
      <w:r>
        <w:rPr>
          <w:rFonts w:ascii="方正黑体_GBK" w:hAnsi="方正黑体_GBK" w:eastAsia="方正黑体_GBK" w:cs="方正黑体_GBK"/>
          <w:b w:val="0"/>
          <w:bCs w:val="0"/>
          <w:color w:val="000000" w:themeColor="text1"/>
          <w:sz w:val="24"/>
          <w:szCs w:val="24"/>
          <w14:textFill>
            <w14:solidFill>
              <w14:schemeClr w14:val="tx1"/>
            </w14:solidFill>
          </w14:textFill>
        </w:rPr>
        <w:t>、税费</w:t>
      </w:r>
    </w:p>
    <w:p w14:paraId="1A7E735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中国政府根据现行税法规定对甲方征收的与本合同有关的一切税费由甲方负担；规定对乙方征收的与本合同有关的一切税费由乙方负担。</w:t>
      </w:r>
    </w:p>
    <w:p w14:paraId="11E30B20">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六</w:t>
      </w:r>
      <w:r>
        <w:rPr>
          <w:rFonts w:ascii="方正黑体_GBK" w:hAnsi="方正黑体_GBK" w:eastAsia="方正黑体_GBK" w:cs="方正黑体_GBK"/>
          <w:b w:val="0"/>
          <w:bCs w:val="0"/>
          <w:color w:val="000000" w:themeColor="text1"/>
          <w:sz w:val="24"/>
          <w:szCs w:val="24"/>
          <w14:textFill>
            <w14:solidFill>
              <w14:schemeClr w14:val="tx1"/>
            </w14:solidFill>
          </w14:textFill>
        </w:rPr>
        <w:t>、合同争议</w:t>
      </w:r>
    </w:p>
    <w:p w14:paraId="7177238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甲乙双方应通过友好协商，解决在执行本合同中所发生的或与本合同有关的一切争议。如果协商仍得不到解决，任何一方均可按“中华人民共和国民法典”规定提交调解和仲裁。   </w:t>
      </w:r>
    </w:p>
    <w:p w14:paraId="33816433">
      <w:pPr>
        <w:pStyle w:val="189"/>
        <w:keepNext w:val="0"/>
        <w:keepLines w:val="0"/>
        <w:spacing w:before="0" w:after="0" w:line="480" w:lineRule="exact"/>
        <w:ind w:firstLine="480" w:firstLineChars="200"/>
        <w:rPr>
          <w:rFonts w:ascii="方正黑体_GBK" w:hAnsi="方正黑体_GBK" w:eastAsia="方正黑体_GBK" w:cs="方正黑体_GBK"/>
          <w:b w:val="0"/>
          <w:bCs w:val="0"/>
          <w:color w:val="000000" w:themeColor="text1"/>
          <w:sz w:val="24"/>
          <w:szCs w:val="24"/>
          <w14:textFill>
            <w14:solidFill>
              <w14:schemeClr w14:val="tx1"/>
            </w14:solidFill>
          </w14:textFill>
        </w:rPr>
      </w:pPr>
      <w:r>
        <w:rPr>
          <w:rFonts w:ascii="方正黑体_GBK" w:hAnsi="方正黑体_GBK" w:eastAsia="方正黑体_GBK" w:cs="方正黑体_GBK"/>
          <w:b w:val="0"/>
          <w:bCs w:val="0"/>
          <w:color w:val="000000" w:themeColor="text1"/>
          <w:sz w:val="24"/>
          <w:szCs w:val="24"/>
          <w14:textFill>
            <w14:solidFill>
              <w14:schemeClr w14:val="tx1"/>
            </w14:solidFill>
          </w14:textFill>
        </w:rPr>
        <w:t>二十</w:t>
      </w:r>
      <w:r>
        <w:rPr>
          <w:rFonts w:hint="eastAsia" w:ascii="方正黑体_GBK" w:hAnsi="方正黑体_GBK" w:eastAsia="方正黑体_GBK" w:cs="方正黑体_GBK"/>
          <w:b w:val="0"/>
          <w:bCs w:val="0"/>
          <w:color w:val="000000" w:themeColor="text1"/>
          <w:sz w:val="24"/>
          <w:szCs w:val="24"/>
          <w:lang w:eastAsia="zh-CN"/>
          <w14:textFill>
            <w14:solidFill>
              <w14:schemeClr w14:val="tx1"/>
            </w14:solidFill>
          </w14:textFill>
        </w:rPr>
        <w:t>七</w:t>
      </w:r>
      <w:r>
        <w:rPr>
          <w:rFonts w:ascii="方正黑体_GBK" w:hAnsi="方正黑体_GBK" w:eastAsia="方正黑体_GBK" w:cs="方正黑体_GBK"/>
          <w:b w:val="0"/>
          <w:bCs w:val="0"/>
          <w:color w:val="000000" w:themeColor="text1"/>
          <w:sz w:val="24"/>
          <w:szCs w:val="24"/>
          <w14:textFill>
            <w14:solidFill>
              <w14:schemeClr w14:val="tx1"/>
            </w14:solidFill>
          </w14:textFill>
        </w:rPr>
        <w:t>、适用法律</w:t>
      </w:r>
    </w:p>
    <w:p w14:paraId="1ADD871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本合同应按照中华人民共和国的现行法律进行解释。</w:t>
      </w:r>
    </w:p>
    <w:p w14:paraId="79BB890D">
      <w:pPr>
        <w:spacing w:line="480" w:lineRule="exact"/>
        <w:ind w:firstLine="480" w:firstLineChars="200"/>
        <w:rPr>
          <w:rFonts w:eastAsia="方正仿宋_GBK"/>
          <w:color w:val="000000" w:themeColor="text1"/>
          <w:sz w:val="24"/>
          <w:szCs w:val="24"/>
          <w14:textFill>
            <w14:solidFill>
              <w14:schemeClr w14:val="tx1"/>
            </w14:solidFill>
          </w14:textFill>
        </w:rPr>
      </w:pPr>
    </w:p>
    <w:p w14:paraId="0C85109D">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甲方：（盖章）                        乙方：  （盖章）      </w:t>
      </w:r>
    </w:p>
    <w:p w14:paraId="4D061F3B">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地址：                               地址：</w:t>
      </w:r>
    </w:p>
    <w:p w14:paraId="593732F8">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法定（授权）代表人：                 法定（授权）代表人：</w:t>
      </w:r>
    </w:p>
    <w:p w14:paraId="0E97943F">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联系人：                             联系人：</w:t>
      </w:r>
    </w:p>
    <w:p w14:paraId="45DAAF3E">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联系电话：                           联系电话：</w:t>
      </w:r>
    </w:p>
    <w:p w14:paraId="6D3447EA">
      <w:pPr>
        <w:spacing w:line="7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2024年    月   日                    2024年   月   日</w:t>
      </w:r>
    </w:p>
    <w:p w14:paraId="40EE4D69">
      <w:pPr>
        <w:rPr>
          <w:rFonts w:eastAsia="方正仿宋_GBK"/>
          <w:color w:val="000000" w:themeColor="text1"/>
          <w:sz w:val="24"/>
          <w:szCs w:val="24"/>
          <w14:textFill>
            <w14:solidFill>
              <w14:schemeClr w14:val="tx1"/>
            </w14:solidFill>
          </w14:textFill>
        </w:rPr>
      </w:pPr>
    </w:p>
    <w:p w14:paraId="193CF275">
      <w:pPr>
        <w:rPr>
          <w:rFonts w:eastAsia="方正仿宋_GBK"/>
          <w:bCs/>
          <w:color w:val="000000" w:themeColor="text1"/>
          <w:sz w:val="44"/>
          <w14:textFill>
            <w14:solidFill>
              <w14:schemeClr w14:val="tx1"/>
            </w14:solidFill>
          </w14:textFill>
        </w:rPr>
      </w:pPr>
      <w:r>
        <w:rPr>
          <w:rFonts w:eastAsia="方正仿宋_GBK"/>
          <w:bCs/>
          <w:color w:val="000000" w:themeColor="text1"/>
          <w:sz w:val="44"/>
          <w14:textFill>
            <w14:solidFill>
              <w14:schemeClr w14:val="tx1"/>
            </w14:solidFill>
          </w14:textFill>
        </w:rPr>
        <w:br w:type="page" w:clear="all"/>
      </w:r>
    </w:p>
    <w:p w14:paraId="6562F44D">
      <w:pPr>
        <w:pStyle w:val="187"/>
        <w:keepNext w:val="0"/>
        <w:rPr>
          <w:rFonts w:ascii="方正小标宋_GBK" w:hAnsi="方正小标宋_GBK" w:eastAsia="方正小标宋_GBK" w:cs="方正小标宋_GBK"/>
          <w:color w:val="000000" w:themeColor="text1"/>
          <w:sz w:val="44"/>
          <w:szCs w:val="44"/>
          <w14:textFill>
            <w14:solidFill>
              <w14:schemeClr w14:val="tx1"/>
            </w14:solidFill>
          </w14:textFill>
        </w:rPr>
      </w:pPr>
      <w:r>
        <w:rPr>
          <w:rFonts w:ascii="方正小标宋_GBK" w:hAnsi="方正小标宋_GBK" w:eastAsia="方正小标宋_GBK" w:cs="方正小标宋_GBK"/>
          <w:color w:val="000000" w:themeColor="text1"/>
          <w:sz w:val="44"/>
          <w:szCs w:val="44"/>
          <w14:textFill>
            <w14:solidFill>
              <w14:schemeClr w14:val="tx1"/>
            </w14:solidFill>
          </w14:textFill>
        </w:rPr>
        <w:t>第</w:t>
      </w:r>
      <w:bookmarkEnd w:id="202"/>
      <w:r>
        <w:rPr>
          <w:rFonts w:ascii="方正小标宋_GBK" w:hAnsi="方正小标宋_GBK" w:eastAsia="方正小标宋_GBK" w:cs="方正小标宋_GBK"/>
          <w:color w:val="000000" w:themeColor="text1"/>
          <w:sz w:val="44"/>
          <w:szCs w:val="44"/>
          <w14:textFill>
            <w14:solidFill>
              <w14:schemeClr w14:val="tx1"/>
            </w14:solidFill>
          </w14:textFill>
        </w:rPr>
        <w:t>四章 采购需求</w:t>
      </w:r>
      <w:bookmarkEnd w:id="203"/>
      <w:bookmarkEnd w:id="204"/>
      <w:bookmarkEnd w:id="205"/>
    </w:p>
    <w:p w14:paraId="5EE03580">
      <w:pPr>
        <w:pStyle w:val="225"/>
        <w:spacing w:line="400" w:lineRule="exact"/>
        <w:jc w:val="center"/>
        <w:rPr>
          <w:rFonts w:ascii="Times New Roman" w:hAnsi="Times New Roman" w:eastAsia="方正黑体_GBK" w:cs="Times New Roman"/>
          <w:bCs/>
          <w:color w:val="000000" w:themeColor="text1"/>
          <w:sz w:val="44"/>
          <w14:textFill>
            <w14:solidFill>
              <w14:schemeClr w14:val="tx1"/>
            </w14:solidFill>
          </w14:textFill>
        </w:rPr>
      </w:pPr>
    </w:p>
    <w:p w14:paraId="02F74C85">
      <w:pPr>
        <w:spacing w:line="480" w:lineRule="exact"/>
        <w:ind w:firstLine="480" w:firstLineChars="200"/>
        <w:rPr>
          <w:rFonts w:eastAsia="方正仿宋_GBK"/>
          <w:color w:val="000000" w:themeColor="text1"/>
          <w:sz w:val="24"/>
          <w:szCs w:val="24"/>
          <w14:textFill>
            <w14:solidFill>
              <w14:schemeClr w14:val="tx1"/>
            </w14:solidFill>
          </w14:textFill>
        </w:rPr>
      </w:pPr>
      <w:bookmarkStart w:id="213" w:name="_Toc26554093"/>
      <w:bookmarkStart w:id="214" w:name="_Toc49090575"/>
      <w:r>
        <w:rPr>
          <w:rFonts w:eastAsia="方正仿宋_GBK"/>
          <w:color w:val="000000" w:themeColor="text1"/>
          <w:sz w:val="24"/>
          <w:szCs w:val="24"/>
          <w14:textFill>
            <w14:solidFill>
              <w14:schemeClr w14:val="tx1"/>
            </w14:solidFill>
          </w14:textFill>
        </w:rPr>
        <w:t>项目属性：货物类项目</w:t>
      </w:r>
    </w:p>
    <w:p w14:paraId="71278EF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本项目采购标的对应的中小企业划分标准所属行业：工业（制造业 ）</w:t>
      </w:r>
    </w:p>
    <w:p w14:paraId="0D409A1F">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本项目不接受进口产品。</w:t>
      </w:r>
    </w:p>
    <w:p w14:paraId="2375FD26">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bookmarkStart w:id="215" w:name="_Toc120614281"/>
      <w:r>
        <w:rPr>
          <w:rFonts w:ascii="方正黑体_GBK" w:hAnsi="方正黑体_GBK" w:eastAsia="方正黑体_GBK" w:cs="方正黑体_GBK"/>
          <w:b/>
          <w:bCs/>
          <w:color w:val="000000" w:themeColor="text1"/>
          <w:sz w:val="24"/>
          <w:szCs w:val="24"/>
          <w14:textFill>
            <w14:solidFill>
              <w14:schemeClr w14:val="tx1"/>
            </w14:solidFill>
          </w14:textFill>
        </w:rPr>
        <w:t>一、项目概况</w:t>
      </w:r>
    </w:p>
    <w:p w14:paraId="0F41A6E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r>
        <w:rPr>
          <w:rFonts w:hint="eastAsia" w:eastAsia="方正仿宋_GBK"/>
          <w:color w:val="000000" w:themeColor="text1"/>
          <w:sz w:val="24"/>
          <w:szCs w:val="24"/>
          <w:lang w:eastAsia="zh-CN"/>
          <w14:textFill>
            <w14:solidFill>
              <w14:schemeClr w14:val="tx1"/>
            </w14:solidFill>
          </w14:textFill>
        </w:rPr>
        <w:t>、</w:t>
      </w:r>
      <w:r>
        <w:rPr>
          <w:rFonts w:eastAsia="方正仿宋_GBK"/>
          <w:color w:val="000000" w:themeColor="text1"/>
          <w:sz w:val="24"/>
          <w:szCs w:val="24"/>
          <w14:textFill>
            <w14:solidFill>
              <w14:schemeClr w14:val="tx1"/>
            </w14:solidFill>
          </w14:textFill>
        </w:rPr>
        <w:t>项目简介</w:t>
      </w:r>
    </w:p>
    <w:p w14:paraId="6AF6F41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本次采购内容为宿迁市城市生命线二期2024年项目（市级管养三座桥梁硬件设施采购及安装项目）。本项目最高限价为150万元。</w:t>
      </w:r>
    </w:p>
    <w:p w14:paraId="3A63794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w:t>
      </w:r>
      <w:r>
        <w:rPr>
          <w:rFonts w:hint="eastAsia" w:eastAsia="方正仿宋_GBK"/>
          <w:color w:val="000000" w:themeColor="text1"/>
          <w:sz w:val="24"/>
          <w:szCs w:val="24"/>
          <w:lang w:eastAsia="zh-CN"/>
          <w14:textFill>
            <w14:solidFill>
              <w14:schemeClr w14:val="tx1"/>
            </w14:solidFill>
          </w14:textFill>
        </w:rPr>
        <w:t>、</w:t>
      </w:r>
      <w:r>
        <w:rPr>
          <w:rFonts w:eastAsia="方正仿宋_GBK"/>
          <w:color w:val="000000" w:themeColor="text1"/>
          <w:sz w:val="24"/>
          <w:szCs w:val="24"/>
          <w14:textFill>
            <w14:solidFill>
              <w14:schemeClr w14:val="tx1"/>
            </w14:solidFill>
          </w14:textFill>
        </w:rPr>
        <w:t>付款方式</w:t>
      </w:r>
    </w:p>
    <w:p w14:paraId="672971E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合同签订后，在收到</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发票后10个工作日内支付合同总额30%的预付款；初验完成且收到</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发票后10个工作日内支付至合同总额80%；服务期结束，</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提供项目完整技术文档，采购人组织终验并出具终验报告，在收到</w:t>
      </w: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发票后10个工作日内，支付余款（不计息）。</w:t>
      </w:r>
    </w:p>
    <w:p w14:paraId="10E0DB4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注：1.在签订合同时，中标人明确表示无需预付款或者主动要求降低预付款比例的金额，招标人可不适用预付款规定。</w:t>
      </w:r>
    </w:p>
    <w:p w14:paraId="78E38F1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2.对于满足合同约定支付条件的，自收到发票后10个工作日内将资金支付到合同约定的中标人账户或中标人数字人民币账户。</w:t>
      </w:r>
    </w:p>
    <w:p w14:paraId="6C560E10">
      <w:pPr>
        <w:spacing w:line="440" w:lineRule="exact"/>
        <w:ind w:firstLine="480" w:firstLineChars="200"/>
        <w:rPr>
          <w:rFonts w:ascii="Times New Roman" w:hAnsi="Times New Roman" w:eastAsia="方正仿宋_GBK" w:cs="Times New Roman"/>
          <w:color w:val="FF0000"/>
          <w:sz w:val="24"/>
          <w:szCs w:val="24"/>
        </w:rPr>
      </w:pPr>
      <w:r>
        <w:rPr>
          <w:rFonts w:eastAsia="方正仿宋_GBK"/>
          <w:color w:val="000000" w:themeColor="text1"/>
          <w:sz w:val="24"/>
          <w:szCs w:val="24"/>
          <w14:textFill>
            <w14:solidFill>
              <w14:schemeClr w14:val="tx1"/>
            </w14:solidFill>
          </w14:textFill>
        </w:rPr>
        <w:t>3</w:t>
      </w:r>
      <w:r>
        <w:rPr>
          <w:rFonts w:hint="eastAsia" w:eastAsia="方正仿宋_GBK"/>
          <w:color w:val="000000" w:themeColor="text1"/>
          <w:sz w:val="24"/>
          <w:szCs w:val="24"/>
          <w:lang w:eastAsia="zh-CN"/>
          <w14:textFill>
            <w14:solidFill>
              <w14:schemeClr w14:val="tx1"/>
            </w14:solidFill>
          </w14:textFill>
        </w:rPr>
        <w:t>、</w:t>
      </w:r>
      <w:r>
        <w:rPr>
          <w:rFonts w:eastAsia="方正仿宋_GBK"/>
          <w:color w:val="000000" w:themeColor="text1"/>
          <w:sz w:val="24"/>
          <w:szCs w:val="24"/>
          <w14:textFill>
            <w14:solidFill>
              <w14:schemeClr w14:val="tx1"/>
            </w14:solidFill>
          </w14:textFill>
        </w:rPr>
        <w:t>合同履行期限：</w:t>
      </w:r>
      <w:r>
        <w:rPr>
          <w:rFonts w:ascii="Times New Roman" w:hAnsi="Times New Roman" w:eastAsia="方正仿宋_GBK" w:cs="Times New Roman"/>
          <w:color w:val="000000" w:themeColor="text1"/>
          <w:sz w:val="24"/>
          <w:szCs w:val="24"/>
          <w14:textFill>
            <w14:solidFill>
              <w14:schemeClr w14:val="tx1"/>
            </w14:solidFill>
          </w14:textFill>
        </w:rPr>
        <w:t>合同签订后30天内完成监测设备采购、安装和调试，将监测数据实时接入采购人指定的桥梁监测平台并上线试运行。</w:t>
      </w:r>
    </w:p>
    <w:p w14:paraId="43EC8B91">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二、项目基本情况</w:t>
      </w:r>
    </w:p>
    <w:p w14:paraId="7EE41995">
      <w:pPr>
        <w:spacing w:line="480" w:lineRule="exact"/>
        <w:ind w:firstLine="480" w:firstLineChars="200"/>
        <w:rPr>
          <w:rFonts w:eastAsia="方正仿宋_GBK"/>
          <w:bCs/>
          <w:color w:val="000000" w:themeColor="text1"/>
          <w:sz w:val="24"/>
          <w:szCs w:val="24"/>
          <w14:textFill>
            <w14:solidFill>
              <w14:schemeClr w14:val="tx1"/>
            </w14:solidFill>
          </w14:textFill>
        </w:rPr>
      </w:pPr>
      <w:bookmarkStart w:id="216" w:name="_Toc63802845"/>
      <w:bookmarkStart w:id="217" w:name="_Toc65686834"/>
      <w:bookmarkStart w:id="218" w:name="_Toc130486468"/>
      <w:bookmarkStart w:id="219" w:name="_Toc65421499"/>
      <w:r>
        <w:rPr>
          <w:rFonts w:eastAsia="方正仿宋_GBK"/>
          <w:bCs/>
          <w:color w:val="000000" w:themeColor="text1"/>
          <w:sz w:val="24"/>
          <w:szCs w:val="24"/>
          <w14:textFill>
            <w14:solidFill>
              <w14:schemeClr w14:val="tx1"/>
            </w14:solidFill>
          </w14:textFill>
        </w:rPr>
        <w:t>1.总体项目</w:t>
      </w:r>
      <w:bookmarkEnd w:id="216"/>
      <w:r>
        <w:rPr>
          <w:rFonts w:eastAsia="方正仿宋_GBK"/>
          <w:bCs/>
          <w:color w:val="000000" w:themeColor="text1"/>
          <w:sz w:val="24"/>
          <w:szCs w:val="24"/>
          <w14:textFill>
            <w14:solidFill>
              <w14:schemeClr w14:val="tx1"/>
            </w14:solidFill>
          </w14:textFill>
        </w:rPr>
        <w:t>背景</w:t>
      </w:r>
      <w:bookmarkEnd w:id="217"/>
      <w:bookmarkEnd w:id="218"/>
      <w:bookmarkEnd w:id="219"/>
    </w:p>
    <w:p w14:paraId="366CC95C">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积极借力“新城建”，对接智慧城市和安全发展示范城市，通过日常监管、部门协同、资源共享、信息融合、智慧监测等方式，将信息化建设与规范化管理一体化融合，建立健全城市生命线安全监管工作机制，实现监管效能显著提升、设施运行高效规范、安全风险有效防控，使城市生命线安全管理从“被动应对”向“主动监管”转变，系统提升城市基础设施规范化、智慧化管理水平，为城市运行“一网统管”提供有力支撑，全面提升城市本质安全水平。</w:t>
      </w:r>
    </w:p>
    <w:p w14:paraId="52AA14CB">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建立桥梁前端监测诊系统，实时采集桥梁所处的静态、动态、环境等信息，为桥梁安全预警、安全分析评估提供数据支持，及时了解结构缺陷与损伤，并分析评估其在所处环境条件下的可能发展势态及其对结构安全运营造成的潜在风险，实现对桥梁结构运营期的监测和管理。为养护需求、养护措施等决策提供科学依据，以达到运用有限的养护资金获得最佳养护效果，确保结构安全运营的目的。</w:t>
      </w:r>
    </w:p>
    <w:p w14:paraId="70CA844E">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2.总体建设目标</w:t>
      </w:r>
    </w:p>
    <w:p w14:paraId="2AACD8C8">
      <w:pPr>
        <w:spacing w:line="480" w:lineRule="exact"/>
        <w:ind w:firstLine="480" w:firstLineChars="200"/>
        <w:rPr>
          <w:rFonts w:eastAsia="方正仿宋_GBK"/>
          <w:bCs/>
          <w:color w:val="000000" w:themeColor="text1"/>
          <w:sz w:val="24"/>
          <w:szCs w:val="24"/>
          <w14:textFill>
            <w14:solidFill>
              <w14:schemeClr w14:val="tx1"/>
            </w14:solidFill>
          </w14:textFill>
        </w:rPr>
      </w:pPr>
      <w:r>
        <w:rPr>
          <w:rFonts w:eastAsia="方正仿宋_GBK"/>
          <w:bCs/>
          <w:color w:val="000000" w:themeColor="text1"/>
          <w:sz w:val="24"/>
          <w:szCs w:val="24"/>
          <w14:textFill>
            <w14:solidFill>
              <w14:schemeClr w14:val="tx1"/>
            </w14:solidFill>
          </w14:textFill>
        </w:rPr>
        <w:t>建立桥梁前端监测诊系统，实时采集桥梁所处的静态、动态、环境等信息，为桥梁安全预警、安全分析评估提供数据支持，及时了解结构缺陷与损伤，并分析评估其在所处环境条件下的可能发展势态及其对结构安全运营造成的潜在风险，实现对桥梁结构运营期的监测和管理。为养护需求、养护措施等决策提供科学依据，以达到运用有限的养护资金获得最佳养护效果，确保结构安全运营的目的。</w:t>
      </w:r>
    </w:p>
    <w:p w14:paraId="27E467DC">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三、服务</w:t>
      </w: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要求及</w:t>
      </w:r>
      <w:r>
        <w:rPr>
          <w:rFonts w:ascii="方正黑体_GBK" w:hAnsi="方正黑体_GBK" w:eastAsia="方正黑体_GBK" w:cs="方正黑体_GBK"/>
          <w:b/>
          <w:bCs/>
          <w:color w:val="000000" w:themeColor="text1"/>
          <w:sz w:val="24"/>
          <w:szCs w:val="24"/>
          <w14:textFill>
            <w14:solidFill>
              <w14:schemeClr w14:val="tx1"/>
            </w14:solidFill>
          </w14:textFill>
        </w:rPr>
        <w:t>内容：</w:t>
      </w:r>
    </w:p>
    <w:p w14:paraId="1926152F">
      <w:pPr>
        <w:spacing w:line="480" w:lineRule="exact"/>
        <w:ind w:firstLine="480" w:firstLineChars="200"/>
        <w:rPr>
          <w:rFonts w:ascii="Times New Roman" w:hAnsi="Times New Roman" w:eastAsia="方正仿宋_GBK" w:cs="Times New Roman"/>
          <w:bCs/>
          <w:color w:val="000000" w:themeColor="text1"/>
          <w:sz w:val="24"/>
          <w:szCs w:val="24"/>
          <w14:textFill>
            <w14:solidFill>
              <w14:schemeClr w14:val="tx1"/>
            </w14:solidFill>
          </w14:textFill>
        </w:rPr>
      </w:pPr>
      <w:r>
        <w:rPr>
          <w:rFonts w:ascii="Times New Roman" w:hAnsi="Times New Roman" w:eastAsia="方正仿宋_GBK" w:cs="Times New Roman"/>
          <w:bCs/>
          <w:color w:val="000000" w:themeColor="text1"/>
          <w:sz w:val="24"/>
          <w:szCs w:val="24"/>
          <w14:textFill>
            <w14:solidFill>
              <w14:schemeClr w14:val="tx1"/>
            </w14:solidFill>
          </w14:textFill>
        </w:rPr>
        <w:t>对照落实《宿迁市城市生命线工程（二期）智慧监测方案》桥梁专项智慧监测工作要求，实现</w:t>
      </w:r>
      <w:r>
        <w:rPr>
          <w:rFonts w:hint="eastAsia" w:ascii="Times New Roman" w:hAnsi="Times New Roman" w:eastAsia="方正仿宋_GBK" w:cs="Times New Roman"/>
          <w:bCs/>
          <w:color w:val="000000" w:themeColor="text1"/>
          <w:sz w:val="24"/>
          <w:szCs w:val="24"/>
          <w:lang w:eastAsia="zh-CN"/>
          <w14:textFill>
            <w14:solidFill>
              <w14:schemeClr w14:val="tx1"/>
            </w14:solidFill>
          </w14:textFill>
        </w:rPr>
        <w:t>对</w:t>
      </w:r>
      <w:r>
        <w:rPr>
          <w:rFonts w:ascii="Times New Roman" w:hAnsi="Times New Roman" w:eastAsia="方正仿宋_GBK" w:cs="Times New Roman"/>
          <w:bCs/>
          <w:color w:val="000000" w:themeColor="text1"/>
          <w:sz w:val="24"/>
          <w:szCs w:val="24"/>
          <w14:textFill>
            <w14:solidFill>
              <w14:schemeClr w14:val="tx1"/>
            </w14:solidFill>
          </w14:textFill>
        </w:rPr>
        <w:t>市直管区3座桥梁（洪泽湖路运河桥、西湖路运河桥、项王路运河桥</w:t>
      </w:r>
      <w:r>
        <w:rPr>
          <w:rFonts w:hint="eastAsia" w:ascii="Times New Roman" w:hAnsi="Times New Roman" w:eastAsia="方正仿宋_GBK" w:cs="Times New Roman"/>
          <w:bCs/>
          <w:color w:val="000000" w:themeColor="text1"/>
          <w:sz w:val="24"/>
          <w:szCs w:val="24"/>
          <w14:textFill>
            <w14:solidFill>
              <w14:schemeClr w14:val="tx1"/>
            </w14:solidFill>
          </w14:textFill>
        </w:rPr>
        <w:t>）</w:t>
      </w:r>
      <w:r>
        <w:rPr>
          <w:rFonts w:ascii="Times New Roman" w:hAnsi="Times New Roman" w:eastAsia="方正仿宋_GBK" w:cs="Times New Roman"/>
          <w:bCs/>
          <w:color w:val="000000" w:themeColor="text1"/>
          <w:sz w:val="24"/>
          <w:szCs w:val="24"/>
          <w14:textFill>
            <w14:solidFill>
              <w14:schemeClr w14:val="tx1"/>
            </w14:solidFill>
          </w14:textFill>
        </w:rPr>
        <w:t>形变、应力、震动等感知设备的建设</w:t>
      </w:r>
      <w:r>
        <w:rPr>
          <w:rFonts w:hint="eastAsia" w:ascii="Times New Roman" w:hAnsi="Times New Roman" w:eastAsia="方正仿宋_GBK" w:cs="Times New Roman"/>
          <w:bCs/>
          <w:color w:val="000000" w:themeColor="text1"/>
          <w:sz w:val="24"/>
          <w:szCs w:val="24"/>
          <w:lang w:val="en-US" w:eastAsia="zh-CN"/>
          <w14:textFill>
            <w14:solidFill>
              <w14:schemeClr w14:val="tx1"/>
            </w14:solidFill>
          </w14:textFill>
        </w:rPr>
        <w:t>；负责与生命线软件平台建设方对接，实现监测数据实时推送至生命线平台。</w:t>
      </w:r>
    </w:p>
    <w:p w14:paraId="71C240A6">
      <w:pPr>
        <w:pStyle w:val="189"/>
        <w:keepNext w:val="0"/>
        <w:keepLines w:val="0"/>
        <w:numPr>
          <w:ilvl w:val="0"/>
          <w:numId w:val="5"/>
        </w:numPr>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采购清单及技术参数要求</w:t>
      </w:r>
    </w:p>
    <w:p w14:paraId="620D667B">
      <w:pPr>
        <w:pStyle w:val="190"/>
        <w:numPr>
          <w:ilvl w:val="0"/>
          <w:numId w:val="0"/>
        </w:numPr>
        <w:rPr>
          <w:rFonts w:hint="eastAsia" w:eastAsia="宋体"/>
          <w:lang w:val="en-US" w:eastAsia="zh-CN"/>
        </w:rPr>
      </w:pPr>
      <w:r>
        <w:rPr>
          <w:rFonts w:hint="eastAsia"/>
          <w:lang w:val="en-US" w:eastAsia="zh-CN"/>
        </w:rPr>
        <w:t xml:space="preserve"> </w:t>
      </w:r>
    </w:p>
    <w:tbl>
      <w:tblPr>
        <w:tblStyle w:val="302"/>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492"/>
        <w:gridCol w:w="4422"/>
        <w:gridCol w:w="796"/>
        <w:gridCol w:w="1087"/>
      </w:tblGrid>
      <w:tr w14:paraId="6D0B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731" w:type="dxa"/>
            <w:shd w:val="clear" w:color="auto" w:fill="FFFFFF"/>
            <w:noWrap w:val="0"/>
            <w:tcMar>
              <w:top w:w="57" w:type="dxa"/>
              <w:left w:w="57" w:type="dxa"/>
              <w:bottom w:w="57" w:type="dxa"/>
              <w:right w:w="57" w:type="dxa"/>
            </w:tcMar>
            <w:vAlign w:val="center"/>
          </w:tcPr>
          <w:p w14:paraId="226881F8">
            <w:pPr>
              <w:pStyle w:val="338"/>
              <w:autoSpaceDE w:val="0"/>
              <w:autoSpaceDN w:val="0"/>
              <w:adjustRightInd w:val="0"/>
              <w:snapToGrid w:val="0"/>
              <w:spacing w:line="240" w:lineRule="exact"/>
              <w:jc w:val="center"/>
              <w:textAlignment w:val="baseline"/>
              <w:rPr>
                <w:rFonts w:ascii="方正黑体_GBK" w:hAnsi="方正黑体_GBK" w:eastAsia="方正黑体_GBK" w:cs="方正黑体_GBK"/>
                <w:color w:val="000000"/>
                <w:spacing w:val="-3"/>
                <w:sz w:val="21"/>
                <w:szCs w:val="21"/>
              </w:rPr>
            </w:pPr>
            <w:r>
              <w:rPr>
                <w:rFonts w:hint="eastAsia" w:ascii="方正黑体_GBK" w:hAnsi="方正黑体_GBK" w:eastAsia="方正黑体_GBK" w:cs="方正黑体_GBK"/>
                <w:color w:val="000000"/>
                <w:spacing w:val="-3"/>
                <w:sz w:val="21"/>
                <w:szCs w:val="21"/>
              </w:rPr>
              <w:t>序号</w:t>
            </w:r>
          </w:p>
        </w:tc>
        <w:tc>
          <w:tcPr>
            <w:tcW w:w="1492" w:type="dxa"/>
            <w:shd w:val="clear" w:color="auto" w:fill="FFFFFF"/>
            <w:noWrap w:val="0"/>
            <w:tcMar>
              <w:top w:w="57" w:type="dxa"/>
              <w:left w:w="57" w:type="dxa"/>
              <w:bottom w:w="57" w:type="dxa"/>
              <w:right w:w="57" w:type="dxa"/>
            </w:tcMar>
            <w:vAlign w:val="center"/>
          </w:tcPr>
          <w:p w14:paraId="67E77A9C">
            <w:pPr>
              <w:pStyle w:val="338"/>
              <w:autoSpaceDE w:val="0"/>
              <w:autoSpaceDN w:val="0"/>
              <w:adjustRightInd w:val="0"/>
              <w:snapToGrid w:val="0"/>
              <w:spacing w:line="240" w:lineRule="exact"/>
              <w:jc w:val="center"/>
              <w:textAlignment w:val="baseline"/>
              <w:rPr>
                <w:rFonts w:ascii="方正黑体_GBK" w:hAnsi="方正黑体_GBK" w:eastAsia="方正黑体_GBK" w:cs="方正黑体_GBK"/>
                <w:color w:val="000000"/>
                <w:spacing w:val="-3"/>
                <w:sz w:val="21"/>
                <w:szCs w:val="21"/>
              </w:rPr>
            </w:pPr>
            <w:r>
              <w:rPr>
                <w:rFonts w:hint="eastAsia" w:ascii="方正黑体_GBK" w:hAnsi="方正黑体_GBK" w:eastAsia="方正黑体_GBK" w:cs="方正黑体_GBK"/>
                <w:color w:val="000000"/>
                <w:spacing w:val="-3"/>
                <w:sz w:val="21"/>
                <w:szCs w:val="21"/>
              </w:rPr>
              <w:t>名称</w:t>
            </w:r>
          </w:p>
        </w:tc>
        <w:tc>
          <w:tcPr>
            <w:tcW w:w="4422" w:type="dxa"/>
            <w:shd w:val="clear" w:color="auto" w:fill="FFFFFF"/>
            <w:noWrap w:val="0"/>
            <w:tcMar>
              <w:top w:w="57" w:type="dxa"/>
              <w:left w:w="57" w:type="dxa"/>
              <w:bottom w:w="57" w:type="dxa"/>
              <w:right w:w="57" w:type="dxa"/>
            </w:tcMar>
            <w:vAlign w:val="center"/>
          </w:tcPr>
          <w:p w14:paraId="08A363CA">
            <w:pPr>
              <w:pStyle w:val="338"/>
              <w:autoSpaceDE w:val="0"/>
              <w:autoSpaceDN w:val="0"/>
              <w:adjustRightInd w:val="0"/>
              <w:snapToGrid w:val="0"/>
              <w:spacing w:line="240" w:lineRule="exact"/>
              <w:jc w:val="center"/>
              <w:textAlignment w:val="baseline"/>
              <w:rPr>
                <w:rFonts w:ascii="方正黑体_GBK" w:hAnsi="方正黑体_GBK" w:eastAsia="方正黑体_GBK" w:cs="方正黑体_GBK"/>
                <w:color w:val="000000"/>
                <w:spacing w:val="-3"/>
                <w:sz w:val="21"/>
                <w:szCs w:val="21"/>
              </w:rPr>
            </w:pPr>
            <w:r>
              <w:rPr>
                <w:rFonts w:hint="eastAsia" w:ascii="方正黑体_GBK" w:hAnsi="方正黑体_GBK" w:eastAsia="方正黑体_GBK" w:cs="方正黑体_GBK"/>
                <w:color w:val="000000"/>
                <w:spacing w:val="-3"/>
                <w:sz w:val="21"/>
                <w:szCs w:val="21"/>
              </w:rPr>
              <w:t>主要技术要求</w:t>
            </w:r>
          </w:p>
        </w:tc>
        <w:tc>
          <w:tcPr>
            <w:tcW w:w="796" w:type="dxa"/>
            <w:shd w:val="clear" w:color="auto" w:fill="FFFFFF"/>
            <w:noWrap w:val="0"/>
            <w:tcMar>
              <w:top w:w="57" w:type="dxa"/>
              <w:left w:w="57" w:type="dxa"/>
              <w:bottom w:w="57" w:type="dxa"/>
              <w:right w:w="57" w:type="dxa"/>
            </w:tcMar>
            <w:vAlign w:val="center"/>
          </w:tcPr>
          <w:p w14:paraId="2FBA575A">
            <w:pPr>
              <w:pStyle w:val="338"/>
              <w:autoSpaceDE w:val="0"/>
              <w:autoSpaceDN w:val="0"/>
              <w:adjustRightInd w:val="0"/>
              <w:snapToGrid w:val="0"/>
              <w:spacing w:line="240" w:lineRule="exact"/>
              <w:jc w:val="center"/>
              <w:textAlignment w:val="baseline"/>
              <w:rPr>
                <w:rFonts w:ascii="方正黑体_GBK" w:hAnsi="方正黑体_GBK" w:eastAsia="方正黑体_GBK" w:cs="方正黑体_GBK"/>
                <w:color w:val="000000"/>
                <w:spacing w:val="-3"/>
                <w:sz w:val="21"/>
                <w:szCs w:val="21"/>
              </w:rPr>
            </w:pPr>
            <w:r>
              <w:rPr>
                <w:rFonts w:hint="eastAsia" w:ascii="方正黑体_GBK" w:hAnsi="方正黑体_GBK" w:eastAsia="方正黑体_GBK" w:cs="方正黑体_GBK"/>
                <w:color w:val="000000"/>
                <w:spacing w:val="-3"/>
                <w:sz w:val="21"/>
                <w:szCs w:val="21"/>
              </w:rPr>
              <w:t>单位</w:t>
            </w:r>
          </w:p>
        </w:tc>
        <w:tc>
          <w:tcPr>
            <w:tcW w:w="1087" w:type="dxa"/>
            <w:shd w:val="clear" w:color="auto" w:fill="FFFFFF"/>
            <w:noWrap w:val="0"/>
            <w:tcMar>
              <w:top w:w="57" w:type="dxa"/>
              <w:left w:w="57" w:type="dxa"/>
              <w:bottom w:w="57" w:type="dxa"/>
              <w:right w:w="57" w:type="dxa"/>
            </w:tcMar>
            <w:vAlign w:val="center"/>
          </w:tcPr>
          <w:p w14:paraId="46DA42EC">
            <w:pPr>
              <w:pStyle w:val="338"/>
              <w:autoSpaceDE w:val="0"/>
              <w:autoSpaceDN w:val="0"/>
              <w:adjustRightInd w:val="0"/>
              <w:snapToGrid w:val="0"/>
              <w:spacing w:line="240" w:lineRule="exact"/>
              <w:jc w:val="center"/>
              <w:textAlignment w:val="baseline"/>
              <w:rPr>
                <w:rFonts w:ascii="方正黑体_GBK" w:hAnsi="方正黑体_GBK" w:eastAsia="方正黑体_GBK" w:cs="方正黑体_GBK"/>
                <w:color w:val="000000"/>
                <w:spacing w:val="-3"/>
                <w:sz w:val="21"/>
                <w:szCs w:val="21"/>
              </w:rPr>
            </w:pPr>
            <w:r>
              <w:rPr>
                <w:rFonts w:hint="eastAsia" w:ascii="方正黑体_GBK" w:hAnsi="方正黑体_GBK" w:eastAsia="方正黑体_GBK" w:cs="方正黑体_GBK"/>
                <w:color w:val="000000"/>
                <w:spacing w:val="-3"/>
                <w:sz w:val="21"/>
                <w:szCs w:val="21"/>
              </w:rPr>
              <w:t>数量</w:t>
            </w:r>
          </w:p>
        </w:tc>
      </w:tr>
      <w:tr w14:paraId="666D6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jc w:val="center"/>
        </w:trPr>
        <w:tc>
          <w:tcPr>
            <w:tcW w:w="731" w:type="dxa"/>
            <w:noWrap w:val="0"/>
            <w:tcMar>
              <w:top w:w="57" w:type="dxa"/>
              <w:left w:w="57" w:type="dxa"/>
              <w:bottom w:w="57" w:type="dxa"/>
              <w:right w:w="57" w:type="dxa"/>
            </w:tcMar>
            <w:vAlign w:val="center"/>
          </w:tcPr>
          <w:p w14:paraId="364EB72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c>
          <w:tcPr>
            <w:tcW w:w="1492" w:type="dxa"/>
            <w:noWrap w:val="0"/>
            <w:tcMar>
              <w:top w:w="57" w:type="dxa"/>
              <w:left w:w="57" w:type="dxa"/>
              <w:bottom w:w="57" w:type="dxa"/>
              <w:right w:w="57" w:type="dxa"/>
            </w:tcMar>
            <w:vAlign w:val="center"/>
          </w:tcPr>
          <w:p w14:paraId="4AAD1EFC">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动挠度传感器</w:t>
            </w:r>
          </w:p>
        </w:tc>
        <w:tc>
          <w:tcPr>
            <w:tcW w:w="4422" w:type="dxa"/>
            <w:noWrap w:val="0"/>
            <w:tcMar>
              <w:top w:w="57" w:type="dxa"/>
              <w:left w:w="57" w:type="dxa"/>
              <w:bottom w:w="57" w:type="dxa"/>
              <w:right w:w="57" w:type="dxa"/>
            </w:tcMar>
            <w:vAlign w:val="center"/>
          </w:tcPr>
          <w:p w14:paraId="5CD9DC8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w:t>
            </w:r>
            <w:r>
              <w:rPr>
                <w:rFonts w:ascii="Times New Roman" w:hAnsi="Times New Roman" w:eastAsia="方正仿宋_GBK" w:cs="Times New Roman"/>
                <w:color w:val="000000"/>
                <w:spacing w:val="-3"/>
                <w:sz w:val="21"/>
                <w:szCs w:val="21"/>
              </w:rPr>
              <w:t>、检测距离：</w:t>
            </w:r>
            <w:r>
              <w:rPr>
                <w:rFonts w:ascii="Times New Roman" w:hAnsi="Times New Roman" w:eastAsia="方正仿宋_GBK" w:cs="Times New Roman"/>
                <w:color w:val="000000"/>
                <w:spacing w:val="-3"/>
                <w:sz w:val="21"/>
                <w:szCs w:val="21"/>
                <w:lang w:eastAsia="zh-CN"/>
              </w:rPr>
              <w:t>0～15</w:t>
            </w:r>
            <w:r>
              <w:rPr>
                <w:rFonts w:ascii="Times New Roman" w:hAnsi="Times New Roman" w:eastAsia="方正仿宋_GBK" w:cs="Times New Roman"/>
                <w:color w:val="000000"/>
                <w:spacing w:val="-3"/>
                <w:sz w:val="21"/>
                <w:szCs w:val="21"/>
              </w:rPr>
              <w:t>0m</w:t>
            </w:r>
            <w:r>
              <w:rPr>
                <w:rFonts w:ascii="Times New Roman" w:hAnsi="Times New Roman" w:eastAsia="方正仿宋_GBK" w:cs="Times New Roman"/>
                <w:color w:val="000000"/>
                <w:spacing w:val="-3"/>
                <w:sz w:val="21"/>
                <w:szCs w:val="21"/>
                <w:lang w:eastAsia="zh-CN"/>
              </w:rPr>
              <w:t>。</w:t>
            </w:r>
          </w:p>
          <w:p w14:paraId="19A37A02">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w:t>
            </w:r>
            <w:r>
              <w:rPr>
                <w:rFonts w:ascii="Times New Roman" w:hAnsi="Times New Roman" w:eastAsia="方正仿宋_GBK" w:cs="Times New Roman"/>
                <w:color w:val="000000"/>
                <w:spacing w:val="-3"/>
                <w:sz w:val="21"/>
                <w:szCs w:val="21"/>
              </w:rPr>
              <w:t>、▲检测精度：0.</w:t>
            </w:r>
            <w:r>
              <w:rPr>
                <w:rFonts w:ascii="Times New Roman" w:hAnsi="Times New Roman" w:eastAsia="方正仿宋_GBK" w:cs="Times New Roman"/>
                <w:color w:val="000000"/>
                <w:spacing w:val="-3"/>
                <w:sz w:val="21"/>
                <w:szCs w:val="21"/>
                <w:lang w:eastAsia="zh-CN"/>
              </w:rPr>
              <w:t>1</w:t>
            </w:r>
            <w:r>
              <w:rPr>
                <w:rFonts w:ascii="Times New Roman" w:hAnsi="Times New Roman" w:eastAsia="方正仿宋_GBK" w:cs="Times New Roman"/>
                <w:color w:val="000000"/>
                <w:spacing w:val="-3"/>
                <w:sz w:val="21"/>
                <w:szCs w:val="21"/>
              </w:rPr>
              <w:t>mm@</w:t>
            </w:r>
            <w:r>
              <w:rPr>
                <w:rFonts w:ascii="Times New Roman" w:hAnsi="Times New Roman" w:eastAsia="方正仿宋_GBK" w:cs="Times New Roman"/>
                <w:color w:val="000000"/>
                <w:spacing w:val="-3"/>
                <w:sz w:val="21"/>
                <w:szCs w:val="21"/>
                <w:lang w:eastAsia="zh-CN"/>
              </w:rPr>
              <w:t>50</w:t>
            </w:r>
            <w:r>
              <w:rPr>
                <w:rFonts w:ascii="Times New Roman" w:hAnsi="Times New Roman" w:eastAsia="方正仿宋_GBK" w:cs="Times New Roman"/>
                <w:color w:val="000000"/>
                <w:spacing w:val="-3"/>
                <w:sz w:val="21"/>
                <w:szCs w:val="21"/>
              </w:rPr>
              <w:t>m</w:t>
            </w:r>
            <w:r>
              <w:rPr>
                <w:rFonts w:ascii="Times New Roman" w:hAnsi="Times New Roman" w:eastAsia="方正仿宋_GBK" w:cs="Times New Roman"/>
                <w:color w:val="000000"/>
                <w:spacing w:val="-3"/>
                <w:sz w:val="21"/>
                <w:szCs w:val="21"/>
                <w:lang w:eastAsia="zh-CN"/>
              </w:rPr>
              <w:t>。</w:t>
            </w:r>
          </w:p>
          <w:p w14:paraId="780461CC">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3、▲位移分辨率：测量视场的十万分之一。</w:t>
            </w:r>
          </w:p>
          <w:p w14:paraId="74AC92D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w:t>
            </w:r>
            <w:r>
              <w:rPr>
                <w:rFonts w:ascii="Times New Roman" w:hAnsi="Times New Roman" w:eastAsia="方正仿宋_GBK" w:cs="Times New Roman"/>
                <w:color w:val="000000"/>
                <w:spacing w:val="-3"/>
                <w:sz w:val="21"/>
                <w:szCs w:val="21"/>
              </w:rPr>
              <w:t>、</w:t>
            </w:r>
            <w:r>
              <w:rPr>
                <w:rFonts w:ascii="Times New Roman" w:hAnsi="Times New Roman" w:eastAsia="方正仿宋_GBK" w:cs="Times New Roman"/>
                <w:color w:val="000000"/>
                <w:spacing w:val="-3"/>
                <w:sz w:val="21"/>
                <w:szCs w:val="21"/>
                <w:lang w:eastAsia="zh-CN"/>
              </w:rPr>
              <w:t>采样频率</w:t>
            </w:r>
            <w:r>
              <w:rPr>
                <w:rFonts w:ascii="Times New Roman" w:hAnsi="Times New Roman" w:eastAsia="方正仿宋_GBK" w:cs="Times New Roman"/>
                <w:color w:val="000000"/>
                <w:spacing w:val="-3"/>
                <w:sz w:val="21"/>
                <w:szCs w:val="21"/>
              </w:rPr>
              <w:t>：</w:t>
            </w:r>
            <w:r>
              <w:rPr>
                <w:rFonts w:ascii="Times New Roman" w:hAnsi="Times New Roman" w:eastAsia="方正仿宋_GBK" w:cs="Times New Roman"/>
                <w:color w:val="000000"/>
                <w:spacing w:val="-3"/>
                <w:sz w:val="21"/>
                <w:szCs w:val="21"/>
                <w:lang w:eastAsia="zh-CN"/>
              </w:rPr>
              <w:t>20</w:t>
            </w:r>
            <w:r>
              <w:rPr>
                <w:rFonts w:ascii="Times New Roman" w:hAnsi="Times New Roman" w:eastAsia="方正仿宋_GBK" w:cs="Times New Roman"/>
                <w:color w:val="000000"/>
                <w:spacing w:val="-3"/>
                <w:sz w:val="21"/>
                <w:szCs w:val="21"/>
              </w:rPr>
              <w:t>Hz</w:t>
            </w:r>
            <w:r>
              <w:rPr>
                <w:rFonts w:ascii="Times New Roman" w:hAnsi="Times New Roman" w:eastAsia="方正仿宋_GBK" w:cs="Times New Roman"/>
                <w:color w:val="000000"/>
                <w:spacing w:val="-3"/>
                <w:sz w:val="21"/>
                <w:szCs w:val="21"/>
                <w:lang w:eastAsia="zh-CN"/>
              </w:rPr>
              <w:t>。</w:t>
            </w:r>
          </w:p>
          <w:p w14:paraId="5AB23808">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w:t>
            </w:r>
            <w:r>
              <w:rPr>
                <w:rFonts w:ascii="Times New Roman" w:hAnsi="Times New Roman" w:eastAsia="方正仿宋_GBK" w:cs="Times New Roman"/>
                <w:color w:val="000000"/>
                <w:spacing w:val="-3"/>
                <w:sz w:val="21"/>
                <w:szCs w:val="21"/>
              </w:rPr>
              <w:t>、防护等级：IP65</w:t>
            </w:r>
            <w:r>
              <w:rPr>
                <w:rFonts w:ascii="Times New Roman" w:hAnsi="Times New Roman" w:eastAsia="方正仿宋_GBK" w:cs="Times New Roman"/>
                <w:color w:val="000000"/>
                <w:spacing w:val="-3"/>
                <w:sz w:val="21"/>
                <w:szCs w:val="21"/>
                <w:lang w:eastAsia="zh-CN"/>
              </w:rPr>
              <w:t>。</w:t>
            </w:r>
          </w:p>
          <w:p w14:paraId="3CBCB03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w:t>
            </w:r>
            <w:r>
              <w:rPr>
                <w:rFonts w:ascii="Times New Roman" w:hAnsi="Times New Roman" w:eastAsia="方正仿宋_GBK" w:cs="Times New Roman"/>
                <w:color w:val="000000"/>
                <w:spacing w:val="-3"/>
                <w:sz w:val="21"/>
                <w:szCs w:val="21"/>
              </w:rPr>
              <w:t>、设备接口：RJ45网口</w:t>
            </w:r>
            <w:r>
              <w:rPr>
                <w:rFonts w:ascii="Times New Roman" w:hAnsi="Times New Roman" w:eastAsia="方正仿宋_GBK" w:cs="Times New Roman"/>
                <w:color w:val="000000"/>
                <w:spacing w:val="-3"/>
                <w:sz w:val="21"/>
                <w:szCs w:val="21"/>
                <w:lang w:eastAsia="zh-CN"/>
              </w:rPr>
              <w:t>。</w:t>
            </w:r>
          </w:p>
          <w:p w14:paraId="365E2FE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7</w:t>
            </w:r>
            <w:r>
              <w:rPr>
                <w:rFonts w:ascii="Times New Roman" w:hAnsi="Times New Roman" w:eastAsia="方正仿宋_GBK" w:cs="Times New Roman"/>
                <w:color w:val="000000"/>
                <w:spacing w:val="-3"/>
                <w:sz w:val="21"/>
                <w:szCs w:val="21"/>
              </w:rPr>
              <w:t>、电流功耗：DC12</w:t>
            </w:r>
            <w:r>
              <w:rPr>
                <w:rFonts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rPr>
              <w:t>24V，</w:t>
            </w:r>
            <w:r>
              <w:rPr>
                <w:rFonts w:ascii="Times New Roman" w:hAnsi="Times New Roman" w:eastAsia="方正仿宋_GBK" w:cs="Times New Roman"/>
                <w:color w:val="000000"/>
                <w:spacing w:val="-3"/>
                <w:sz w:val="21"/>
                <w:szCs w:val="21"/>
                <w:lang w:eastAsia="zh-CN"/>
              </w:rPr>
              <w:t>支持</w:t>
            </w:r>
            <w:r>
              <w:rPr>
                <w:rFonts w:ascii="Times New Roman" w:hAnsi="Times New Roman" w:eastAsia="方正仿宋_GBK" w:cs="Times New Roman"/>
                <w:color w:val="000000"/>
                <w:spacing w:val="-3"/>
                <w:sz w:val="21"/>
                <w:szCs w:val="21"/>
              </w:rPr>
              <w:t>POE供电</w:t>
            </w:r>
            <w:r>
              <w:rPr>
                <w:rFonts w:ascii="Times New Roman" w:hAnsi="Times New Roman" w:eastAsia="方正仿宋_GBK" w:cs="Times New Roman"/>
                <w:color w:val="000000"/>
                <w:spacing w:val="-3"/>
                <w:sz w:val="21"/>
                <w:szCs w:val="21"/>
                <w:lang w:eastAsia="zh-CN"/>
              </w:rPr>
              <w:t>。</w:t>
            </w:r>
          </w:p>
          <w:p w14:paraId="5F20AF1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8</w:t>
            </w:r>
            <w:r>
              <w:rPr>
                <w:rFonts w:ascii="Times New Roman" w:hAnsi="Times New Roman" w:eastAsia="方正仿宋_GBK" w:cs="Times New Roman"/>
                <w:color w:val="000000"/>
                <w:spacing w:val="-3"/>
                <w:sz w:val="21"/>
                <w:szCs w:val="21"/>
              </w:rPr>
              <w:t>、工作温度：-</w:t>
            </w:r>
            <w:r>
              <w:rPr>
                <w:rFonts w:ascii="Times New Roman" w:hAnsi="Times New Roman" w:eastAsia="方正仿宋_GBK" w:cs="Times New Roman"/>
                <w:color w:val="000000"/>
                <w:spacing w:val="-3"/>
                <w:sz w:val="21"/>
                <w:szCs w:val="21"/>
                <w:lang w:eastAsia="zh-CN"/>
              </w:rPr>
              <w:t>2</w:t>
            </w:r>
            <w:r>
              <w:rPr>
                <w:rFonts w:ascii="Times New Roman" w:hAnsi="Times New Roman" w:eastAsia="方正仿宋_GBK" w:cs="Times New Roman"/>
                <w:color w:val="000000"/>
                <w:spacing w:val="-3"/>
                <w:sz w:val="21"/>
                <w:szCs w:val="21"/>
              </w:rPr>
              <w:t>0℃</w:t>
            </w:r>
            <w:r>
              <w:rPr>
                <w:rFonts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rPr>
              <w:t>+</w:t>
            </w:r>
            <w:r>
              <w:rPr>
                <w:rFonts w:ascii="Times New Roman" w:hAnsi="Times New Roman" w:eastAsia="方正仿宋_GBK" w:cs="Times New Roman"/>
                <w:color w:val="000000"/>
                <w:spacing w:val="-3"/>
                <w:sz w:val="21"/>
                <w:szCs w:val="21"/>
                <w:lang w:eastAsia="zh-CN"/>
              </w:rPr>
              <w:t>60</w:t>
            </w:r>
            <w:r>
              <w:rPr>
                <w:rFonts w:ascii="Times New Roman" w:hAnsi="Times New Roman" w:eastAsia="方正仿宋_GBK" w:cs="Times New Roman"/>
                <w:color w:val="000000"/>
                <w:spacing w:val="-3"/>
                <w:sz w:val="21"/>
                <w:szCs w:val="21"/>
              </w:rPr>
              <w:t>℃</w:t>
            </w:r>
            <w:r>
              <w:rPr>
                <w:rFonts w:ascii="Times New Roman" w:hAnsi="Times New Roman" w:eastAsia="方正仿宋_GBK" w:cs="Times New Roman"/>
                <w:color w:val="000000"/>
                <w:spacing w:val="-3"/>
                <w:sz w:val="21"/>
                <w:szCs w:val="21"/>
                <w:lang w:eastAsia="zh-CN"/>
              </w:rPr>
              <w:t>。</w:t>
            </w:r>
          </w:p>
        </w:tc>
        <w:tc>
          <w:tcPr>
            <w:tcW w:w="796" w:type="dxa"/>
            <w:noWrap w:val="0"/>
            <w:tcMar>
              <w:top w:w="57" w:type="dxa"/>
              <w:left w:w="57" w:type="dxa"/>
              <w:bottom w:w="57" w:type="dxa"/>
              <w:right w:w="57" w:type="dxa"/>
            </w:tcMar>
            <w:vAlign w:val="center"/>
          </w:tcPr>
          <w:p w14:paraId="5CAC3A8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4E6835A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w:t>
            </w:r>
          </w:p>
        </w:tc>
      </w:tr>
      <w:tr w14:paraId="14B5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25B3415">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2</w:t>
            </w:r>
          </w:p>
        </w:tc>
        <w:tc>
          <w:tcPr>
            <w:tcW w:w="1492" w:type="dxa"/>
            <w:noWrap w:val="0"/>
            <w:tcMar>
              <w:top w:w="57" w:type="dxa"/>
              <w:left w:w="57" w:type="dxa"/>
              <w:bottom w:w="57" w:type="dxa"/>
              <w:right w:w="57" w:type="dxa"/>
            </w:tcMar>
            <w:vAlign w:val="center"/>
          </w:tcPr>
          <w:p w14:paraId="38CCFD50">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目标靶</w:t>
            </w:r>
          </w:p>
        </w:tc>
        <w:tc>
          <w:tcPr>
            <w:tcW w:w="4422" w:type="dxa"/>
            <w:noWrap w:val="0"/>
            <w:tcMar>
              <w:top w:w="57" w:type="dxa"/>
              <w:left w:w="57" w:type="dxa"/>
              <w:bottom w:w="57" w:type="dxa"/>
              <w:right w:w="57" w:type="dxa"/>
            </w:tcMar>
            <w:vAlign w:val="center"/>
          </w:tcPr>
          <w:p w14:paraId="5AF638D9">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1、光源：LED 光源。</w:t>
            </w:r>
          </w:p>
          <w:p w14:paraId="1C03867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2、波长：850纳米。</w:t>
            </w:r>
          </w:p>
          <w:p w14:paraId="1F22BEAB">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3、功耗：最大10W。</w:t>
            </w:r>
          </w:p>
          <w:p w14:paraId="1F1C3AE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4、输入电压：DC12V～24V。</w:t>
            </w:r>
          </w:p>
          <w:p w14:paraId="1EEA770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5、工作温度：-40℃～+80℃。</w:t>
            </w:r>
          </w:p>
          <w:p w14:paraId="199C853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6、防水等级：IP67。</w:t>
            </w:r>
          </w:p>
        </w:tc>
        <w:tc>
          <w:tcPr>
            <w:tcW w:w="796" w:type="dxa"/>
            <w:noWrap w:val="0"/>
            <w:tcMar>
              <w:top w:w="57" w:type="dxa"/>
              <w:left w:w="57" w:type="dxa"/>
              <w:bottom w:w="57" w:type="dxa"/>
              <w:right w:w="57" w:type="dxa"/>
            </w:tcMar>
            <w:vAlign w:val="center"/>
          </w:tcPr>
          <w:p w14:paraId="06F20F0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65CDA11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22</w:t>
            </w:r>
          </w:p>
        </w:tc>
      </w:tr>
      <w:tr w14:paraId="44832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0C3E0BA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3</w:t>
            </w:r>
          </w:p>
        </w:tc>
        <w:tc>
          <w:tcPr>
            <w:tcW w:w="1492" w:type="dxa"/>
            <w:noWrap w:val="0"/>
            <w:tcMar>
              <w:top w:w="57" w:type="dxa"/>
              <w:left w:w="57" w:type="dxa"/>
              <w:bottom w:w="57" w:type="dxa"/>
              <w:right w:w="57" w:type="dxa"/>
            </w:tcMar>
            <w:vAlign w:val="center"/>
          </w:tcPr>
          <w:p w14:paraId="44AD452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lang w:eastAsia="zh-CN"/>
              </w:rPr>
              <w:t>索力</w:t>
            </w:r>
            <w:r>
              <w:rPr>
                <w:rFonts w:ascii="Times New Roman" w:hAnsi="Times New Roman" w:eastAsia="方正仿宋_GBK" w:cs="Times New Roman"/>
                <w:color w:val="000000"/>
                <w:spacing w:val="-3"/>
                <w:sz w:val="21"/>
                <w:szCs w:val="21"/>
              </w:rPr>
              <w:t>传感器</w:t>
            </w:r>
          </w:p>
        </w:tc>
        <w:tc>
          <w:tcPr>
            <w:tcW w:w="4422" w:type="dxa"/>
            <w:noWrap w:val="0"/>
            <w:tcMar>
              <w:top w:w="57" w:type="dxa"/>
              <w:left w:w="57" w:type="dxa"/>
              <w:bottom w:w="57" w:type="dxa"/>
              <w:right w:w="57" w:type="dxa"/>
            </w:tcMar>
            <w:vAlign w:val="center"/>
          </w:tcPr>
          <w:p w14:paraId="419F6DA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1、测量范围：50m·s</w:t>
            </w:r>
            <w:r>
              <w:rPr>
                <w:rFonts w:ascii="Times New Roman" w:hAnsi="Times New Roman" w:eastAsia="方正仿宋_GBK" w:cs="Times New Roman"/>
                <w:color w:val="000000"/>
                <w:spacing w:val="-3"/>
                <w:sz w:val="21"/>
                <w:szCs w:val="21"/>
                <w:vertAlign w:val="superscript"/>
                <w:lang w:eastAsia="zh-CN"/>
              </w:rPr>
              <w:t>-2</w:t>
            </w:r>
            <w:r>
              <w:rPr>
                <w:rFonts w:ascii="Times New Roman" w:hAnsi="Times New Roman" w:eastAsia="方正仿宋_GBK" w:cs="Times New Roman"/>
                <w:color w:val="000000"/>
                <w:spacing w:val="-3"/>
                <w:sz w:val="21"/>
                <w:szCs w:val="21"/>
                <w:lang w:eastAsia="zh-CN"/>
              </w:rPr>
              <w:t>。</w:t>
            </w:r>
          </w:p>
          <w:p w14:paraId="301BC022">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2、▲灵敏度：100mV/m·s</w:t>
            </w:r>
            <w:r>
              <w:rPr>
                <w:rFonts w:ascii="Times New Roman" w:hAnsi="Times New Roman" w:eastAsia="方正仿宋_GBK" w:cs="Times New Roman"/>
                <w:color w:val="000000"/>
                <w:spacing w:val="-3"/>
                <w:sz w:val="21"/>
                <w:szCs w:val="21"/>
                <w:vertAlign w:val="superscript"/>
                <w:lang w:eastAsia="zh-CN"/>
              </w:rPr>
              <w:t>-2</w:t>
            </w:r>
            <w:r>
              <w:rPr>
                <w:rFonts w:ascii="Times New Roman" w:hAnsi="Times New Roman" w:eastAsia="方正仿宋_GBK" w:cs="Times New Roman"/>
                <w:color w:val="000000"/>
                <w:spacing w:val="-3"/>
                <w:sz w:val="21"/>
                <w:szCs w:val="21"/>
                <w:lang w:eastAsia="zh-CN"/>
              </w:rPr>
              <w:t>。</w:t>
            </w:r>
          </w:p>
          <w:p w14:paraId="2E4D2425">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3、分辨率：3μg。</w:t>
            </w:r>
          </w:p>
          <w:p w14:paraId="4B04F6D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4、频率：0.2～1500Hz</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±10%</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w:t>
            </w:r>
          </w:p>
          <w:p w14:paraId="1E0FF64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5、采样频率：50</w:t>
            </w:r>
            <w:r>
              <w:rPr>
                <w:rFonts w:ascii="Times New Roman" w:hAnsi="Times New Roman" w:eastAsia="方正仿宋_GBK" w:cs="Times New Roman"/>
                <w:color w:val="000000"/>
                <w:spacing w:val="-3"/>
                <w:sz w:val="21"/>
                <w:szCs w:val="21"/>
              </w:rPr>
              <w:t>Hz</w:t>
            </w:r>
            <w:r>
              <w:rPr>
                <w:rFonts w:ascii="Times New Roman" w:hAnsi="Times New Roman" w:eastAsia="方正仿宋_GBK" w:cs="Times New Roman"/>
                <w:color w:val="000000"/>
                <w:spacing w:val="-3"/>
                <w:sz w:val="21"/>
                <w:szCs w:val="21"/>
                <w:lang w:eastAsia="zh-CN"/>
              </w:rPr>
              <w:t>。</w:t>
            </w:r>
          </w:p>
          <w:p w14:paraId="07F749F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6、防护等级：IP65。</w:t>
            </w:r>
          </w:p>
        </w:tc>
        <w:tc>
          <w:tcPr>
            <w:tcW w:w="796" w:type="dxa"/>
            <w:noWrap w:val="0"/>
            <w:tcMar>
              <w:top w:w="57" w:type="dxa"/>
              <w:left w:w="57" w:type="dxa"/>
              <w:bottom w:w="57" w:type="dxa"/>
              <w:right w:w="57" w:type="dxa"/>
            </w:tcMar>
            <w:vAlign w:val="center"/>
          </w:tcPr>
          <w:p w14:paraId="548BC9A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4B632A1C">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12</w:t>
            </w:r>
          </w:p>
        </w:tc>
      </w:tr>
      <w:tr w14:paraId="2E0C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jc w:val="center"/>
        </w:trPr>
        <w:tc>
          <w:tcPr>
            <w:tcW w:w="731" w:type="dxa"/>
            <w:noWrap w:val="0"/>
            <w:tcMar>
              <w:top w:w="57" w:type="dxa"/>
              <w:left w:w="57" w:type="dxa"/>
              <w:bottom w:w="57" w:type="dxa"/>
              <w:right w:w="57" w:type="dxa"/>
            </w:tcMar>
            <w:vAlign w:val="center"/>
          </w:tcPr>
          <w:p w14:paraId="2E5AA99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w:t>
            </w:r>
          </w:p>
        </w:tc>
        <w:tc>
          <w:tcPr>
            <w:tcW w:w="1492" w:type="dxa"/>
            <w:noWrap w:val="0"/>
            <w:tcMar>
              <w:top w:w="57" w:type="dxa"/>
              <w:left w:w="57" w:type="dxa"/>
              <w:bottom w:w="57" w:type="dxa"/>
              <w:right w:w="57" w:type="dxa"/>
            </w:tcMar>
            <w:vAlign w:val="center"/>
          </w:tcPr>
          <w:p w14:paraId="1580C060">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拉绳式</w:t>
            </w:r>
          </w:p>
          <w:p w14:paraId="5C556EB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lang w:eastAsia="zh-CN"/>
              </w:rPr>
              <w:t>位移</w:t>
            </w:r>
            <w:r>
              <w:rPr>
                <w:rFonts w:ascii="Times New Roman" w:hAnsi="Times New Roman" w:eastAsia="方正仿宋_GBK" w:cs="Times New Roman"/>
                <w:color w:val="000000"/>
                <w:spacing w:val="-3"/>
                <w:sz w:val="21"/>
                <w:szCs w:val="21"/>
              </w:rPr>
              <w:t>传感器</w:t>
            </w:r>
          </w:p>
        </w:tc>
        <w:tc>
          <w:tcPr>
            <w:tcW w:w="4422" w:type="dxa"/>
            <w:noWrap w:val="0"/>
            <w:tcMar>
              <w:top w:w="57" w:type="dxa"/>
              <w:left w:w="57" w:type="dxa"/>
              <w:bottom w:w="57" w:type="dxa"/>
              <w:right w:w="57" w:type="dxa"/>
            </w:tcMar>
            <w:vAlign w:val="center"/>
          </w:tcPr>
          <w:p w14:paraId="66B89D05">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1、测量范围：100～1300mm任选。</w:t>
            </w:r>
          </w:p>
          <w:p w14:paraId="4FFC8B5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2、▲线性度：0.1%FS。</w:t>
            </w:r>
          </w:p>
          <w:p w14:paraId="592467F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3、▲重复性：0.02%FS。</w:t>
            </w:r>
          </w:p>
          <w:p w14:paraId="497289C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4、供电电压：5/10VDC。</w:t>
            </w:r>
          </w:p>
          <w:p w14:paraId="67E3AFA4">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5、输出信号：RS485。</w:t>
            </w:r>
          </w:p>
          <w:p w14:paraId="6150F3B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6、采样频率：1</w:t>
            </w:r>
            <w:r>
              <w:rPr>
                <w:rFonts w:ascii="Times New Roman" w:hAnsi="Times New Roman" w:eastAsia="方正仿宋_GBK" w:cs="Times New Roman"/>
                <w:color w:val="000000"/>
                <w:spacing w:val="-3"/>
                <w:sz w:val="21"/>
                <w:szCs w:val="21"/>
              </w:rPr>
              <w:t>Hz</w:t>
            </w:r>
            <w:r>
              <w:rPr>
                <w:rFonts w:ascii="Times New Roman" w:hAnsi="Times New Roman" w:eastAsia="方正仿宋_GBK" w:cs="Times New Roman"/>
                <w:color w:val="000000"/>
                <w:spacing w:val="-3"/>
                <w:sz w:val="21"/>
                <w:szCs w:val="21"/>
                <w:lang w:eastAsia="zh-CN"/>
              </w:rPr>
              <w:t>。</w:t>
            </w:r>
          </w:p>
          <w:p w14:paraId="6BB723E5">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7、防护等级：IP65。</w:t>
            </w:r>
          </w:p>
        </w:tc>
        <w:tc>
          <w:tcPr>
            <w:tcW w:w="796" w:type="dxa"/>
            <w:noWrap w:val="0"/>
            <w:tcMar>
              <w:top w:w="57" w:type="dxa"/>
              <w:left w:w="57" w:type="dxa"/>
              <w:bottom w:w="57" w:type="dxa"/>
              <w:right w:w="57" w:type="dxa"/>
            </w:tcMar>
            <w:vAlign w:val="center"/>
          </w:tcPr>
          <w:p w14:paraId="27AF612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4357DBD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8</w:t>
            </w:r>
          </w:p>
        </w:tc>
      </w:tr>
      <w:tr w14:paraId="31F3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731" w:type="dxa"/>
            <w:noWrap w:val="0"/>
            <w:tcMar>
              <w:top w:w="57" w:type="dxa"/>
              <w:left w:w="57" w:type="dxa"/>
              <w:bottom w:w="57" w:type="dxa"/>
              <w:right w:w="57" w:type="dxa"/>
            </w:tcMar>
            <w:vAlign w:val="center"/>
          </w:tcPr>
          <w:p w14:paraId="633EAB1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w:t>
            </w:r>
          </w:p>
        </w:tc>
        <w:tc>
          <w:tcPr>
            <w:tcW w:w="1492" w:type="dxa"/>
            <w:noWrap w:val="0"/>
            <w:tcMar>
              <w:top w:w="57" w:type="dxa"/>
              <w:left w:w="57" w:type="dxa"/>
              <w:bottom w:w="57" w:type="dxa"/>
              <w:right w:w="57" w:type="dxa"/>
            </w:tcMar>
            <w:vAlign w:val="center"/>
          </w:tcPr>
          <w:p w14:paraId="1D469EC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应变计</w:t>
            </w:r>
          </w:p>
        </w:tc>
        <w:tc>
          <w:tcPr>
            <w:tcW w:w="4422" w:type="dxa"/>
            <w:noWrap w:val="0"/>
            <w:tcMar>
              <w:top w:w="57" w:type="dxa"/>
              <w:left w:w="57" w:type="dxa"/>
              <w:bottom w:w="57" w:type="dxa"/>
              <w:right w:w="57" w:type="dxa"/>
            </w:tcMar>
            <w:vAlign w:val="center"/>
          </w:tcPr>
          <w:p w14:paraId="5A85906C">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1、测量范围：±1500με。</w:t>
            </w:r>
          </w:p>
          <w:p w14:paraId="052013F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2、▲灵敏度：500με/mV·V</w:t>
            </w:r>
            <w:r>
              <w:rPr>
                <w:rFonts w:ascii="Times New Roman" w:hAnsi="Times New Roman" w:eastAsia="方正仿宋_GBK" w:cs="Times New Roman"/>
                <w:color w:val="000000"/>
                <w:spacing w:val="-3"/>
                <w:sz w:val="21"/>
                <w:szCs w:val="21"/>
                <w:vertAlign w:val="superscript"/>
                <w:lang w:eastAsia="zh-CN"/>
              </w:rPr>
              <w:t>-1</w:t>
            </w:r>
            <w:r>
              <w:rPr>
                <w:rFonts w:ascii="Times New Roman" w:hAnsi="Times New Roman" w:eastAsia="方正仿宋_GBK" w:cs="Times New Roman"/>
                <w:color w:val="000000"/>
                <w:spacing w:val="-3"/>
                <w:sz w:val="21"/>
                <w:szCs w:val="21"/>
                <w:lang w:eastAsia="zh-CN"/>
              </w:rPr>
              <w:t>。</w:t>
            </w:r>
          </w:p>
          <w:p w14:paraId="1AA7F74B">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3、桥路电阻：350Ω。</w:t>
            </w:r>
          </w:p>
          <w:p w14:paraId="1C19EA2C">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4、采样频率：10Hz。</w:t>
            </w:r>
          </w:p>
          <w:p w14:paraId="2726E654">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5、▲非线性误差：≤±2%.F.S。</w:t>
            </w:r>
          </w:p>
          <w:p w14:paraId="08E97B5A">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6、温度：-20℃～+80℃。</w:t>
            </w:r>
          </w:p>
          <w:p w14:paraId="41245E7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7、防护等级：IP67。</w:t>
            </w:r>
          </w:p>
        </w:tc>
        <w:tc>
          <w:tcPr>
            <w:tcW w:w="796" w:type="dxa"/>
            <w:noWrap w:val="0"/>
            <w:tcMar>
              <w:top w:w="57" w:type="dxa"/>
              <w:left w:w="57" w:type="dxa"/>
              <w:bottom w:w="57" w:type="dxa"/>
              <w:right w:w="57" w:type="dxa"/>
            </w:tcMar>
            <w:vAlign w:val="center"/>
          </w:tcPr>
          <w:p w14:paraId="74E0967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0918714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26</w:t>
            </w:r>
          </w:p>
        </w:tc>
      </w:tr>
      <w:tr w14:paraId="148FC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7F4442F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w:t>
            </w:r>
          </w:p>
        </w:tc>
        <w:tc>
          <w:tcPr>
            <w:tcW w:w="1492" w:type="dxa"/>
            <w:noWrap w:val="0"/>
            <w:tcMar>
              <w:top w:w="57" w:type="dxa"/>
              <w:left w:w="57" w:type="dxa"/>
              <w:bottom w:w="57" w:type="dxa"/>
              <w:right w:w="57" w:type="dxa"/>
            </w:tcMar>
            <w:vAlign w:val="center"/>
          </w:tcPr>
          <w:p w14:paraId="59F7B24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监控摄像机</w:t>
            </w:r>
          </w:p>
        </w:tc>
        <w:tc>
          <w:tcPr>
            <w:tcW w:w="4422" w:type="dxa"/>
            <w:noWrap w:val="0"/>
            <w:tcMar>
              <w:top w:w="57" w:type="dxa"/>
              <w:left w:w="57" w:type="dxa"/>
              <w:bottom w:w="57" w:type="dxa"/>
              <w:right w:w="57" w:type="dxa"/>
            </w:tcMar>
            <w:vAlign w:val="center"/>
          </w:tcPr>
          <w:p w14:paraId="0AF2FB5A">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1、传感器：1/2.8”CMOS。</w:t>
            </w:r>
          </w:p>
          <w:p w14:paraId="5F416E2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2、▲分辨率：2560×1440。</w:t>
            </w:r>
          </w:p>
          <w:p w14:paraId="3F6E6B9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3、焦距：4.8 mm～110 mm，23倍光学变倍。</w:t>
            </w:r>
          </w:p>
          <w:p w14:paraId="6324802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4、最低照度：彩色：0.005Lux@（F1.6，AGCON）；黑白：0.001Lux@（F1.6，AGCON）；0 Lux with IR。</w:t>
            </w:r>
          </w:p>
          <w:p w14:paraId="7202A65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5、日夜转换模式：自动ICR彩转黑。</w:t>
            </w:r>
          </w:p>
          <w:p w14:paraId="01CB06A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6、日夜转换方式：白天,夜晚,自动,定时切换。</w:t>
            </w:r>
          </w:p>
          <w:p w14:paraId="72D421EC">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7、支持强光抑制、背光补偿。</w:t>
            </w:r>
          </w:p>
          <w:p w14:paraId="66F3FB2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8、供电方式：DC12V，PoE+</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802.3at</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w:t>
            </w:r>
          </w:p>
          <w:p w14:paraId="608CACF9">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9、防护等级：IP66，6000V防雷、防浪涌。</w:t>
            </w:r>
          </w:p>
          <w:p w14:paraId="1343F1B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10、工作温度：-30℃～65℃。</w:t>
            </w:r>
          </w:p>
        </w:tc>
        <w:tc>
          <w:tcPr>
            <w:tcW w:w="796" w:type="dxa"/>
            <w:noWrap w:val="0"/>
            <w:tcMar>
              <w:top w:w="57" w:type="dxa"/>
              <w:left w:w="57" w:type="dxa"/>
              <w:bottom w:w="57" w:type="dxa"/>
              <w:right w:w="57" w:type="dxa"/>
            </w:tcMar>
            <w:vAlign w:val="center"/>
          </w:tcPr>
          <w:p w14:paraId="25C0DFF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227380D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12</w:t>
            </w:r>
          </w:p>
        </w:tc>
      </w:tr>
      <w:tr w14:paraId="1E63A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5BC7D02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7</w:t>
            </w:r>
          </w:p>
        </w:tc>
        <w:tc>
          <w:tcPr>
            <w:tcW w:w="1492" w:type="dxa"/>
            <w:noWrap w:val="0"/>
            <w:tcMar>
              <w:top w:w="57" w:type="dxa"/>
              <w:left w:w="57" w:type="dxa"/>
              <w:bottom w:w="57" w:type="dxa"/>
              <w:right w:w="57" w:type="dxa"/>
            </w:tcMar>
            <w:vAlign w:val="center"/>
          </w:tcPr>
          <w:p w14:paraId="52DA564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综合数据</w:t>
            </w:r>
          </w:p>
          <w:p w14:paraId="0ECE1CF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采集机箱</w:t>
            </w:r>
          </w:p>
        </w:tc>
        <w:tc>
          <w:tcPr>
            <w:tcW w:w="4422" w:type="dxa"/>
            <w:noWrap w:val="0"/>
            <w:tcMar>
              <w:top w:w="57" w:type="dxa"/>
              <w:left w:w="57" w:type="dxa"/>
              <w:bottom w:w="57" w:type="dxa"/>
              <w:right w:w="57" w:type="dxa"/>
            </w:tcMar>
            <w:vAlign w:val="center"/>
          </w:tcPr>
          <w:p w14:paraId="359BE001">
            <w:pPr>
              <w:pStyle w:val="338"/>
              <w:numPr>
                <w:ilvl w:val="0"/>
                <w:numId w:val="6"/>
              </w:numPr>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支持板卡类型：应变、热电阻、电压、电流、振弦、总线、IEPE等。</w:t>
            </w:r>
          </w:p>
          <w:p w14:paraId="5AA2A87E">
            <w:pPr>
              <w:pStyle w:val="338"/>
              <w:numPr>
                <w:ilvl w:val="0"/>
                <w:numId w:val="6"/>
              </w:numPr>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采样速率（连续采样，振弦、总线除外）：1、2、5、10、20、50、100Hz。</w:t>
            </w:r>
          </w:p>
          <w:p w14:paraId="57A64A0A">
            <w:pPr>
              <w:pStyle w:val="338"/>
              <w:numPr>
                <w:ilvl w:val="0"/>
                <w:numId w:val="6"/>
              </w:numPr>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仪器同步方式：NTP同步。</w:t>
            </w:r>
          </w:p>
          <w:p w14:paraId="701673B5">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4、通讯方式：以太网。</w:t>
            </w:r>
          </w:p>
          <w:p w14:paraId="4608E7BA">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w:t>
            </w:r>
            <w:r>
              <w:rPr>
                <w:rFonts w:ascii="Times New Roman" w:hAnsi="Times New Roman" w:eastAsia="方正仿宋_GBK" w:cs="Times New Roman"/>
                <w:color w:val="000000"/>
                <w:sz w:val="21"/>
                <w:szCs w:val="21"/>
                <w:shd w:val="clear" w:color="auto" w:fill="FFFFFF"/>
                <w:lang w:eastAsia="zh-CN"/>
              </w:rPr>
              <w:t>工作温度</w:t>
            </w:r>
            <w:r>
              <w:rPr>
                <w:rFonts w:ascii="Times New Roman" w:hAnsi="Times New Roman" w:eastAsia="方正仿宋_GBK" w:cs="Times New Roman"/>
                <w:color w:val="000000"/>
                <w:spacing w:val="-3"/>
                <w:sz w:val="21"/>
                <w:szCs w:val="21"/>
                <w:lang w:eastAsia="zh-CN"/>
              </w:rPr>
              <w:t>：-20</w:t>
            </w:r>
            <w:r>
              <w:rPr>
                <w:rFonts w:ascii="Times New Roman" w:hAnsi="Times New Roman" w:eastAsia="方正仿宋_GBK" w:cs="Times New Roman"/>
                <w:color w:val="000000"/>
                <w:sz w:val="21"/>
                <w:szCs w:val="21"/>
                <w:shd w:val="clear" w:color="auto" w:fill="FFFFFF"/>
              </w:rPr>
              <w:t>℃</w:t>
            </w:r>
            <w:r>
              <w:rPr>
                <w:rFonts w:ascii="Times New Roman" w:hAnsi="Times New Roman" w:eastAsia="方正仿宋_GBK" w:cs="Times New Roman"/>
                <w:color w:val="000000"/>
                <w:spacing w:val="-3"/>
                <w:sz w:val="21"/>
                <w:szCs w:val="21"/>
                <w:lang w:eastAsia="zh-CN"/>
              </w:rPr>
              <w:t>～+70</w:t>
            </w:r>
            <w:r>
              <w:rPr>
                <w:rFonts w:ascii="Times New Roman" w:hAnsi="Times New Roman" w:eastAsia="方正仿宋_GBK" w:cs="Times New Roman"/>
                <w:color w:val="000000"/>
                <w:sz w:val="21"/>
                <w:szCs w:val="21"/>
                <w:shd w:val="clear" w:color="auto" w:fill="FFFFFF"/>
              </w:rPr>
              <w:t>℃</w:t>
            </w:r>
            <w:r>
              <w:rPr>
                <w:rFonts w:ascii="Times New Roman" w:hAnsi="Times New Roman" w:eastAsia="方正仿宋_GBK" w:cs="Times New Roman"/>
                <w:color w:val="000000"/>
                <w:sz w:val="21"/>
                <w:szCs w:val="21"/>
                <w:shd w:val="clear" w:color="auto" w:fill="FFFFFF"/>
                <w:lang w:eastAsia="zh-CN"/>
              </w:rPr>
              <w:t>。</w:t>
            </w:r>
          </w:p>
          <w:p w14:paraId="0031C38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6、防护等级：IP50。</w:t>
            </w:r>
          </w:p>
        </w:tc>
        <w:tc>
          <w:tcPr>
            <w:tcW w:w="796" w:type="dxa"/>
            <w:noWrap w:val="0"/>
            <w:tcMar>
              <w:top w:w="57" w:type="dxa"/>
              <w:left w:w="57" w:type="dxa"/>
              <w:bottom w:w="57" w:type="dxa"/>
              <w:right w:w="57" w:type="dxa"/>
            </w:tcMar>
            <w:vAlign w:val="center"/>
          </w:tcPr>
          <w:p w14:paraId="4420FFC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787396F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2A6F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73CFC855">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8</w:t>
            </w:r>
          </w:p>
        </w:tc>
        <w:tc>
          <w:tcPr>
            <w:tcW w:w="1492" w:type="dxa"/>
            <w:noWrap w:val="0"/>
            <w:tcMar>
              <w:top w:w="57" w:type="dxa"/>
              <w:left w:w="57" w:type="dxa"/>
              <w:bottom w:w="57" w:type="dxa"/>
              <w:right w:w="57" w:type="dxa"/>
            </w:tcMar>
            <w:vAlign w:val="center"/>
          </w:tcPr>
          <w:p w14:paraId="6B89885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highlight w:val="yellow"/>
                <w:lang w:eastAsia="zh-CN"/>
              </w:rPr>
            </w:pPr>
            <w:r>
              <w:rPr>
                <w:rFonts w:ascii="Times New Roman" w:hAnsi="Times New Roman" w:eastAsia="方正仿宋_GBK" w:cs="Times New Roman"/>
                <w:color w:val="000000"/>
                <w:spacing w:val="-3"/>
                <w:sz w:val="21"/>
                <w:szCs w:val="21"/>
                <w:lang w:eastAsia="zh-CN"/>
              </w:rPr>
              <w:t>索力</w:t>
            </w:r>
            <w:r>
              <w:rPr>
                <w:rFonts w:ascii="Times New Roman" w:hAnsi="Times New Roman" w:eastAsia="方正仿宋_GBK" w:cs="Times New Roman"/>
                <w:color w:val="000000"/>
                <w:spacing w:val="-3"/>
                <w:sz w:val="21"/>
                <w:szCs w:val="21"/>
              </w:rPr>
              <w:t>信号</w:t>
            </w:r>
            <w:r>
              <w:rPr>
                <w:rFonts w:ascii="Times New Roman" w:hAnsi="Times New Roman" w:eastAsia="方正仿宋_GBK" w:cs="Times New Roman"/>
                <w:color w:val="000000"/>
                <w:spacing w:val="-3"/>
                <w:sz w:val="21"/>
                <w:szCs w:val="21"/>
                <w:lang w:eastAsia="zh-CN"/>
              </w:rPr>
              <w:t>通道</w:t>
            </w:r>
          </w:p>
        </w:tc>
        <w:tc>
          <w:tcPr>
            <w:tcW w:w="4422" w:type="dxa"/>
            <w:noWrap w:val="0"/>
            <w:tcMar>
              <w:top w:w="57" w:type="dxa"/>
              <w:left w:w="57" w:type="dxa"/>
              <w:bottom w:w="57" w:type="dxa"/>
              <w:right w:w="57" w:type="dxa"/>
            </w:tcMar>
            <w:vAlign w:val="center"/>
          </w:tcPr>
          <w:p w14:paraId="0C05657A">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1、采集通道满足现场实际要求。</w:t>
            </w:r>
          </w:p>
          <w:p w14:paraId="3513D8B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z w:val="21"/>
                <w:szCs w:val="21"/>
                <w:lang w:eastAsia="zh-CN"/>
              </w:rPr>
            </w:pPr>
            <w:r>
              <w:rPr>
                <w:rFonts w:ascii="Times New Roman" w:hAnsi="Times New Roman" w:eastAsia="方正仿宋_GBK" w:cs="Times New Roman"/>
                <w:color w:val="000000"/>
                <w:spacing w:val="-3"/>
                <w:sz w:val="21"/>
                <w:szCs w:val="21"/>
                <w:lang w:eastAsia="zh-CN"/>
              </w:rPr>
              <w:t>2、▲测量</w:t>
            </w:r>
            <w:r>
              <w:rPr>
                <w:rFonts w:ascii="Times New Roman" w:hAnsi="Times New Roman" w:eastAsia="方正仿宋_GBK" w:cs="Times New Roman"/>
                <w:color w:val="000000"/>
                <w:sz w:val="21"/>
                <w:szCs w:val="21"/>
                <w:lang w:eastAsia="zh-CN"/>
              </w:rPr>
              <w:t>误差：≤0.5%FS。</w:t>
            </w:r>
          </w:p>
          <w:p w14:paraId="23CC0D34">
            <w:pPr>
              <w:pStyle w:val="338"/>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lang w:eastAsia="zh-CN"/>
              </w:rPr>
            </w:pPr>
            <w:r>
              <w:rPr>
                <w:rFonts w:ascii="Times New Roman" w:hAnsi="Times New Roman" w:eastAsia="方正仿宋_GBK" w:cs="Times New Roman"/>
                <w:color w:val="000000"/>
                <w:sz w:val="21"/>
                <w:szCs w:val="21"/>
                <w:lang w:eastAsia="zh-CN"/>
              </w:rPr>
              <w:t>3、频响范围：DC</w:t>
            </w:r>
            <w:r>
              <w:rPr>
                <w:rFonts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z w:val="21"/>
                <w:szCs w:val="21"/>
                <w:lang w:eastAsia="zh-CN"/>
              </w:rPr>
              <w:t>35Hz。</w:t>
            </w:r>
          </w:p>
          <w:p w14:paraId="72C894A5">
            <w:pPr>
              <w:pStyle w:val="338"/>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lang w:eastAsia="zh-CN"/>
              </w:rPr>
              <w:t>4、电压量程：5V。</w:t>
            </w:r>
          </w:p>
        </w:tc>
        <w:tc>
          <w:tcPr>
            <w:tcW w:w="796" w:type="dxa"/>
            <w:noWrap w:val="0"/>
            <w:tcMar>
              <w:top w:w="57" w:type="dxa"/>
              <w:left w:w="57" w:type="dxa"/>
              <w:bottom w:w="57" w:type="dxa"/>
              <w:right w:w="57" w:type="dxa"/>
            </w:tcMar>
            <w:vAlign w:val="center"/>
          </w:tcPr>
          <w:p w14:paraId="6B6FE64C">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个</w:t>
            </w:r>
          </w:p>
        </w:tc>
        <w:tc>
          <w:tcPr>
            <w:tcW w:w="1087" w:type="dxa"/>
            <w:noWrap w:val="0"/>
            <w:tcMar>
              <w:top w:w="57" w:type="dxa"/>
              <w:left w:w="57" w:type="dxa"/>
              <w:bottom w:w="57" w:type="dxa"/>
              <w:right w:w="57" w:type="dxa"/>
            </w:tcMar>
            <w:vAlign w:val="center"/>
          </w:tcPr>
          <w:p w14:paraId="2BA4C95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12</w:t>
            </w:r>
          </w:p>
        </w:tc>
      </w:tr>
      <w:tr w14:paraId="70398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jc w:val="center"/>
        </w:trPr>
        <w:tc>
          <w:tcPr>
            <w:tcW w:w="731" w:type="dxa"/>
            <w:noWrap w:val="0"/>
            <w:tcMar>
              <w:top w:w="57" w:type="dxa"/>
              <w:left w:w="57" w:type="dxa"/>
              <w:bottom w:w="57" w:type="dxa"/>
              <w:right w:w="57" w:type="dxa"/>
            </w:tcMar>
            <w:vAlign w:val="center"/>
          </w:tcPr>
          <w:p w14:paraId="61C7939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9</w:t>
            </w:r>
          </w:p>
        </w:tc>
        <w:tc>
          <w:tcPr>
            <w:tcW w:w="1492" w:type="dxa"/>
            <w:noWrap w:val="0"/>
            <w:tcMar>
              <w:top w:w="57" w:type="dxa"/>
              <w:left w:w="57" w:type="dxa"/>
              <w:bottom w:w="57" w:type="dxa"/>
              <w:right w:w="57" w:type="dxa"/>
            </w:tcMar>
            <w:vAlign w:val="center"/>
          </w:tcPr>
          <w:p w14:paraId="7C82DD4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highlight w:val="yellow"/>
                <w:lang w:eastAsia="zh-CN"/>
              </w:rPr>
            </w:pPr>
            <w:r>
              <w:rPr>
                <w:rFonts w:ascii="Times New Roman" w:hAnsi="Times New Roman" w:eastAsia="方正仿宋_GBK" w:cs="Times New Roman"/>
                <w:color w:val="000000"/>
                <w:spacing w:val="-3"/>
                <w:sz w:val="21"/>
                <w:szCs w:val="21"/>
                <w:lang w:eastAsia="zh-CN"/>
              </w:rPr>
              <w:t>应变</w:t>
            </w:r>
            <w:r>
              <w:rPr>
                <w:rFonts w:ascii="Times New Roman" w:hAnsi="Times New Roman" w:eastAsia="方正仿宋_GBK" w:cs="Times New Roman"/>
                <w:color w:val="000000"/>
                <w:spacing w:val="-3"/>
                <w:sz w:val="21"/>
                <w:szCs w:val="21"/>
              </w:rPr>
              <w:t>信号</w:t>
            </w:r>
            <w:r>
              <w:rPr>
                <w:rFonts w:ascii="Times New Roman" w:hAnsi="Times New Roman" w:eastAsia="方正仿宋_GBK" w:cs="Times New Roman"/>
                <w:color w:val="000000"/>
                <w:spacing w:val="-3"/>
                <w:sz w:val="21"/>
                <w:szCs w:val="21"/>
                <w:lang w:eastAsia="zh-CN"/>
              </w:rPr>
              <w:t>通道</w:t>
            </w:r>
          </w:p>
        </w:tc>
        <w:tc>
          <w:tcPr>
            <w:tcW w:w="4422" w:type="dxa"/>
            <w:noWrap w:val="0"/>
            <w:tcMar>
              <w:top w:w="57" w:type="dxa"/>
              <w:left w:w="57" w:type="dxa"/>
              <w:bottom w:w="57" w:type="dxa"/>
              <w:right w:w="57" w:type="dxa"/>
            </w:tcMar>
            <w:vAlign w:val="center"/>
          </w:tcPr>
          <w:p w14:paraId="2AE7EE6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1、通道数：通道数量满足现场要求。</w:t>
            </w:r>
          </w:p>
          <w:p w14:paraId="2E0BAAEC">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2、▲测量分辨率：0.5με。</w:t>
            </w:r>
          </w:p>
          <w:p w14:paraId="04CB433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3、测量范围：±50kμε。</w:t>
            </w:r>
          </w:p>
          <w:p w14:paraId="24FAF688">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4、示值误差：0.5%±3με。</w:t>
            </w:r>
          </w:p>
          <w:p w14:paraId="7EF1F0D2">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5、频响范围：DC～30Hz。</w:t>
            </w:r>
          </w:p>
        </w:tc>
        <w:tc>
          <w:tcPr>
            <w:tcW w:w="796" w:type="dxa"/>
            <w:noWrap w:val="0"/>
            <w:tcMar>
              <w:top w:w="57" w:type="dxa"/>
              <w:left w:w="57" w:type="dxa"/>
              <w:bottom w:w="57" w:type="dxa"/>
              <w:right w:w="57" w:type="dxa"/>
            </w:tcMar>
            <w:vAlign w:val="center"/>
          </w:tcPr>
          <w:p w14:paraId="43F9565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个</w:t>
            </w:r>
          </w:p>
        </w:tc>
        <w:tc>
          <w:tcPr>
            <w:tcW w:w="1087" w:type="dxa"/>
            <w:noWrap w:val="0"/>
            <w:tcMar>
              <w:top w:w="57" w:type="dxa"/>
              <w:left w:w="57" w:type="dxa"/>
              <w:bottom w:w="57" w:type="dxa"/>
              <w:right w:w="57" w:type="dxa"/>
            </w:tcMar>
            <w:vAlign w:val="center"/>
          </w:tcPr>
          <w:p w14:paraId="0303424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26</w:t>
            </w:r>
          </w:p>
        </w:tc>
      </w:tr>
      <w:tr w14:paraId="3AC0D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A43514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10</w:t>
            </w:r>
          </w:p>
        </w:tc>
        <w:tc>
          <w:tcPr>
            <w:tcW w:w="1492" w:type="dxa"/>
            <w:noWrap w:val="0"/>
            <w:tcMar>
              <w:top w:w="57" w:type="dxa"/>
              <w:left w:w="57" w:type="dxa"/>
              <w:bottom w:w="57" w:type="dxa"/>
              <w:right w:w="57" w:type="dxa"/>
            </w:tcMar>
            <w:vAlign w:val="center"/>
          </w:tcPr>
          <w:p w14:paraId="7D9E946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串口服务器</w:t>
            </w:r>
          </w:p>
        </w:tc>
        <w:tc>
          <w:tcPr>
            <w:tcW w:w="4422" w:type="dxa"/>
            <w:noWrap w:val="0"/>
            <w:tcMar>
              <w:top w:w="57" w:type="dxa"/>
              <w:left w:w="57" w:type="dxa"/>
              <w:bottom w:w="57" w:type="dxa"/>
              <w:right w:w="57" w:type="dxa"/>
            </w:tcMar>
            <w:vAlign w:val="center"/>
          </w:tcPr>
          <w:p w14:paraId="465371DA">
            <w:pPr>
              <w:pStyle w:val="338"/>
              <w:numPr>
                <w:ilvl w:val="0"/>
                <w:numId w:val="7"/>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网口规格：</w:t>
            </w:r>
            <w:r>
              <w:rPr>
                <w:rFonts w:ascii="Times New Roman" w:hAnsi="Times New Roman" w:eastAsia="方正仿宋_GBK" w:cs="Times New Roman"/>
                <w:color w:val="000000"/>
                <w:sz w:val="21"/>
                <w:szCs w:val="21"/>
                <w:shd w:val="clear" w:color="auto" w:fill="FFFFFF"/>
              </w:rPr>
              <w:t>RJ45、10/100Mbps</w:t>
            </w:r>
            <w:r>
              <w:rPr>
                <w:rFonts w:ascii="Times New Roman" w:hAnsi="Times New Roman" w:eastAsia="方正仿宋_GBK" w:cs="Times New Roman"/>
                <w:color w:val="000000"/>
                <w:sz w:val="21"/>
                <w:szCs w:val="21"/>
                <w:shd w:val="clear" w:color="auto" w:fill="FFFFFF"/>
                <w:lang w:eastAsia="zh-CN"/>
              </w:rPr>
              <w:t>。</w:t>
            </w:r>
          </w:p>
          <w:p w14:paraId="0AC88557">
            <w:pPr>
              <w:pStyle w:val="338"/>
              <w:numPr>
                <w:ilvl w:val="0"/>
                <w:numId w:val="7"/>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串口规格：</w:t>
            </w:r>
            <w:r>
              <w:rPr>
                <w:rFonts w:ascii="Times New Roman" w:hAnsi="Times New Roman" w:eastAsia="方正仿宋_GBK" w:cs="Times New Roman"/>
                <w:color w:val="000000"/>
                <w:sz w:val="21"/>
                <w:szCs w:val="21"/>
                <w:shd w:val="clear" w:color="auto" w:fill="FFFFFF"/>
              </w:rPr>
              <w:t>RS485：3线（A+，B-，GND）</w:t>
            </w:r>
            <w:r>
              <w:rPr>
                <w:rFonts w:ascii="Times New Roman" w:hAnsi="Times New Roman" w:eastAsia="方正仿宋_GBK" w:cs="Times New Roman"/>
                <w:color w:val="000000"/>
                <w:sz w:val="21"/>
                <w:szCs w:val="21"/>
                <w:shd w:val="clear" w:color="auto" w:fill="FFFFFF"/>
                <w:lang w:eastAsia="zh-CN"/>
              </w:rPr>
              <w:t>。</w:t>
            </w:r>
          </w:p>
          <w:p w14:paraId="1FD42B4F">
            <w:pPr>
              <w:pStyle w:val="338"/>
              <w:numPr>
                <w:ilvl w:val="0"/>
                <w:numId w:val="7"/>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波特率：</w:t>
            </w:r>
            <w:r>
              <w:rPr>
                <w:rFonts w:ascii="Times New Roman" w:hAnsi="Times New Roman" w:eastAsia="方正仿宋_GBK" w:cs="Times New Roman"/>
                <w:color w:val="000000"/>
                <w:sz w:val="21"/>
                <w:szCs w:val="21"/>
                <w:shd w:val="clear" w:color="auto" w:fill="FFFFFF"/>
              </w:rPr>
              <w:t>600bps</w:t>
            </w:r>
            <w:r>
              <w:rPr>
                <w:rFonts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z w:val="21"/>
                <w:szCs w:val="21"/>
                <w:shd w:val="clear" w:color="auto" w:fill="FFFFFF"/>
              </w:rPr>
              <w:t>921.6K bps</w:t>
            </w:r>
            <w:r>
              <w:rPr>
                <w:rFonts w:ascii="Times New Roman" w:hAnsi="Times New Roman" w:eastAsia="方正仿宋_GBK" w:cs="Times New Roman"/>
                <w:color w:val="000000"/>
                <w:sz w:val="21"/>
                <w:szCs w:val="21"/>
                <w:shd w:val="clear" w:color="auto" w:fill="FFFFFF"/>
                <w:lang w:eastAsia="zh-CN"/>
              </w:rPr>
              <w:t>。</w:t>
            </w:r>
          </w:p>
          <w:p w14:paraId="2D487BE0">
            <w:pPr>
              <w:pStyle w:val="338"/>
              <w:numPr>
                <w:ilvl w:val="0"/>
                <w:numId w:val="7"/>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工作电压：</w:t>
            </w:r>
            <w:r>
              <w:rPr>
                <w:rFonts w:ascii="Times New Roman" w:hAnsi="Times New Roman" w:eastAsia="方正仿宋_GBK" w:cs="Times New Roman"/>
                <w:color w:val="000000"/>
                <w:sz w:val="21"/>
                <w:szCs w:val="21"/>
                <w:shd w:val="clear" w:color="auto" w:fill="FFFFFF"/>
              </w:rPr>
              <w:t>DC9.0～36.0 V</w:t>
            </w:r>
            <w:r>
              <w:rPr>
                <w:rFonts w:ascii="Times New Roman" w:hAnsi="Times New Roman" w:eastAsia="方正仿宋_GBK" w:cs="Times New Roman"/>
                <w:color w:val="000000"/>
                <w:sz w:val="21"/>
                <w:szCs w:val="21"/>
                <w:shd w:val="clear" w:color="auto" w:fill="FFFFFF"/>
                <w:lang w:eastAsia="zh-CN"/>
              </w:rPr>
              <w:t>。</w:t>
            </w:r>
          </w:p>
          <w:p w14:paraId="2B5FF198">
            <w:pPr>
              <w:pStyle w:val="338"/>
              <w:numPr>
                <w:ilvl w:val="0"/>
                <w:numId w:val="7"/>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工作温度：</w:t>
            </w:r>
            <w:r>
              <w:rPr>
                <w:rFonts w:ascii="Times New Roman" w:hAnsi="Times New Roman" w:eastAsia="方正仿宋_GBK" w:cs="Times New Roman"/>
                <w:color w:val="000000"/>
                <w:spacing w:val="-3"/>
                <w:sz w:val="21"/>
                <w:szCs w:val="21"/>
                <w:lang w:eastAsia="zh-CN"/>
              </w:rPr>
              <w:t>-20</w:t>
            </w:r>
            <w:r>
              <w:rPr>
                <w:rFonts w:ascii="Times New Roman" w:hAnsi="Times New Roman" w:eastAsia="方正仿宋_GBK" w:cs="Times New Roman"/>
                <w:color w:val="000000"/>
                <w:sz w:val="21"/>
                <w:szCs w:val="21"/>
                <w:shd w:val="clear" w:color="auto" w:fill="FFFFFF"/>
              </w:rPr>
              <w:t>℃</w:t>
            </w:r>
            <w:r>
              <w:rPr>
                <w:rFonts w:ascii="Times New Roman" w:hAnsi="Times New Roman" w:eastAsia="方正仿宋_GBK" w:cs="Times New Roman"/>
                <w:color w:val="000000"/>
                <w:spacing w:val="-3"/>
                <w:sz w:val="21"/>
                <w:szCs w:val="21"/>
                <w:lang w:eastAsia="zh-CN"/>
              </w:rPr>
              <w:t>～+70</w:t>
            </w:r>
            <w:r>
              <w:rPr>
                <w:rFonts w:ascii="Times New Roman" w:hAnsi="Times New Roman" w:eastAsia="方正仿宋_GBK" w:cs="Times New Roman"/>
                <w:color w:val="000000"/>
                <w:sz w:val="21"/>
                <w:szCs w:val="21"/>
                <w:shd w:val="clear" w:color="auto" w:fill="FFFFFF"/>
              </w:rPr>
              <w:t>℃</w:t>
            </w:r>
            <w:r>
              <w:rPr>
                <w:rFonts w:ascii="Times New Roman" w:hAnsi="Times New Roman" w:eastAsia="方正仿宋_GBK" w:cs="Times New Roman"/>
                <w:color w:val="000000"/>
                <w:sz w:val="21"/>
                <w:szCs w:val="21"/>
                <w:shd w:val="clear" w:color="auto" w:fill="FFFFFF"/>
                <w:lang w:eastAsia="zh-CN"/>
              </w:rPr>
              <w:t>。</w:t>
            </w:r>
          </w:p>
        </w:tc>
        <w:tc>
          <w:tcPr>
            <w:tcW w:w="796" w:type="dxa"/>
            <w:noWrap w:val="0"/>
            <w:tcMar>
              <w:top w:w="57" w:type="dxa"/>
              <w:left w:w="57" w:type="dxa"/>
              <w:bottom w:w="57" w:type="dxa"/>
              <w:right w:w="57" w:type="dxa"/>
            </w:tcMar>
            <w:vAlign w:val="center"/>
          </w:tcPr>
          <w:p w14:paraId="1A6BD75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2644C7F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053BC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2B5D3C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1</w:t>
            </w:r>
          </w:p>
        </w:tc>
        <w:tc>
          <w:tcPr>
            <w:tcW w:w="1492" w:type="dxa"/>
            <w:noWrap w:val="0"/>
            <w:tcMar>
              <w:top w:w="57" w:type="dxa"/>
              <w:left w:w="57" w:type="dxa"/>
              <w:bottom w:w="57" w:type="dxa"/>
              <w:right w:w="57" w:type="dxa"/>
            </w:tcMar>
            <w:vAlign w:val="center"/>
          </w:tcPr>
          <w:p w14:paraId="0C56854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b/>
                <w:bCs/>
                <w:color w:val="000000"/>
                <w:spacing w:val="-3"/>
                <w:sz w:val="21"/>
                <w:szCs w:val="21"/>
              </w:rPr>
            </w:pPr>
            <w:r>
              <w:rPr>
                <w:rFonts w:ascii="Times New Roman" w:hAnsi="Times New Roman" w:eastAsia="方正仿宋_GBK" w:cs="Times New Roman"/>
                <w:b/>
                <w:bCs/>
                <w:color w:val="000000"/>
                <w:spacing w:val="-3"/>
                <w:sz w:val="21"/>
                <w:szCs w:val="21"/>
                <w:lang w:eastAsia="zh-CN"/>
              </w:rPr>
              <w:t>工业</w:t>
            </w:r>
            <w:r>
              <w:rPr>
                <w:rFonts w:ascii="Times New Roman" w:hAnsi="Times New Roman" w:eastAsia="方正仿宋_GBK" w:cs="Times New Roman"/>
                <w:b/>
                <w:bCs/>
                <w:color w:val="000000"/>
                <w:spacing w:val="-3"/>
                <w:sz w:val="21"/>
                <w:szCs w:val="21"/>
              </w:rPr>
              <w:t>交换机</w:t>
            </w:r>
          </w:p>
          <w:p w14:paraId="4D3ACDE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b/>
                <w:bCs/>
                <w:color w:val="000000"/>
                <w:spacing w:val="-3"/>
                <w:sz w:val="21"/>
                <w:szCs w:val="21"/>
              </w:rPr>
              <w:t>（核心产品）</w:t>
            </w:r>
          </w:p>
        </w:tc>
        <w:tc>
          <w:tcPr>
            <w:tcW w:w="4422" w:type="dxa"/>
            <w:noWrap w:val="0"/>
            <w:tcMar>
              <w:top w:w="57" w:type="dxa"/>
              <w:left w:w="57" w:type="dxa"/>
              <w:bottom w:w="57" w:type="dxa"/>
              <w:right w:w="57" w:type="dxa"/>
            </w:tcMar>
            <w:vAlign w:val="center"/>
          </w:tcPr>
          <w:p w14:paraId="01432EF4">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16个千兆电口。</w:t>
            </w:r>
          </w:p>
          <w:p w14:paraId="55A2C3AF">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交换容量：32G。</w:t>
            </w:r>
          </w:p>
          <w:p w14:paraId="4B65915C">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包转发率：23.8Mpps。</w:t>
            </w:r>
          </w:p>
          <w:p w14:paraId="66B65031">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包缓冲区：2M。</w:t>
            </w:r>
          </w:p>
          <w:p w14:paraId="47AC8BDE">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防护等级：IP40，无风扇自然散热。</w:t>
            </w:r>
          </w:p>
          <w:p w14:paraId="2FF25404">
            <w:pPr>
              <w:pStyle w:val="338"/>
              <w:numPr>
                <w:ilvl w:val="0"/>
                <w:numId w:val="8"/>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z w:val="21"/>
                <w:szCs w:val="21"/>
                <w:shd w:val="clear" w:color="auto" w:fill="FFFFFF"/>
                <w:lang w:eastAsia="zh-CN"/>
              </w:rPr>
              <w:t>工作温度：-20℃～70℃。</w:t>
            </w:r>
          </w:p>
        </w:tc>
        <w:tc>
          <w:tcPr>
            <w:tcW w:w="796" w:type="dxa"/>
            <w:noWrap w:val="0"/>
            <w:tcMar>
              <w:top w:w="57" w:type="dxa"/>
              <w:left w:w="57" w:type="dxa"/>
              <w:bottom w:w="57" w:type="dxa"/>
              <w:right w:w="57" w:type="dxa"/>
            </w:tcMar>
            <w:vAlign w:val="center"/>
          </w:tcPr>
          <w:p w14:paraId="2681F94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台</w:t>
            </w:r>
          </w:p>
        </w:tc>
        <w:tc>
          <w:tcPr>
            <w:tcW w:w="1087" w:type="dxa"/>
            <w:noWrap w:val="0"/>
            <w:tcMar>
              <w:top w:w="57" w:type="dxa"/>
              <w:left w:w="57" w:type="dxa"/>
              <w:bottom w:w="57" w:type="dxa"/>
              <w:right w:w="57" w:type="dxa"/>
            </w:tcMar>
            <w:vAlign w:val="center"/>
          </w:tcPr>
          <w:p w14:paraId="2C9E1F5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1F94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11E1427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2</w:t>
            </w:r>
          </w:p>
        </w:tc>
        <w:tc>
          <w:tcPr>
            <w:tcW w:w="1492" w:type="dxa"/>
            <w:noWrap w:val="0"/>
            <w:tcMar>
              <w:top w:w="57" w:type="dxa"/>
              <w:left w:w="57" w:type="dxa"/>
              <w:bottom w:w="57" w:type="dxa"/>
              <w:right w:w="57" w:type="dxa"/>
            </w:tcMar>
            <w:vAlign w:val="center"/>
          </w:tcPr>
          <w:p w14:paraId="5BA186D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光纤收发器</w:t>
            </w:r>
          </w:p>
        </w:tc>
        <w:tc>
          <w:tcPr>
            <w:tcW w:w="4422" w:type="dxa"/>
            <w:noWrap w:val="0"/>
            <w:tcMar>
              <w:top w:w="57" w:type="dxa"/>
              <w:left w:w="57" w:type="dxa"/>
              <w:bottom w:w="57" w:type="dxa"/>
              <w:right w:w="57" w:type="dxa"/>
            </w:tcMar>
            <w:vAlign w:val="center"/>
          </w:tcPr>
          <w:p w14:paraId="0BF622CE">
            <w:pPr>
              <w:pStyle w:val="338"/>
              <w:numPr>
                <w:ilvl w:val="0"/>
                <w:numId w:val="9"/>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接口：单模单纤SC。</w:t>
            </w:r>
          </w:p>
          <w:p w14:paraId="5124ED45">
            <w:pPr>
              <w:pStyle w:val="338"/>
              <w:numPr>
                <w:ilvl w:val="0"/>
                <w:numId w:val="9"/>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传输距离：0～20km。</w:t>
            </w:r>
          </w:p>
          <w:p w14:paraId="56BA6A95">
            <w:pPr>
              <w:pStyle w:val="338"/>
              <w:numPr>
                <w:ilvl w:val="0"/>
                <w:numId w:val="9"/>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灵敏度：-23dbm。</w:t>
            </w:r>
          </w:p>
          <w:p w14:paraId="6D6798D3">
            <w:pPr>
              <w:pStyle w:val="338"/>
              <w:numPr>
                <w:ilvl w:val="0"/>
                <w:numId w:val="9"/>
              </w:numPr>
              <w:autoSpaceDE w:val="0"/>
              <w:autoSpaceDN w:val="0"/>
              <w:adjustRightInd w:val="0"/>
              <w:snapToGrid w:val="0"/>
              <w:spacing w:line="240" w:lineRule="exact"/>
              <w:ind w:firstLine="102" w:firstLineChars="49"/>
              <w:textAlignment w:val="baseline"/>
              <w:rPr>
                <w:rFonts w:ascii="Times New Roman" w:hAnsi="Times New Roman" w:eastAsia="方正仿宋_GBK" w:cs="Times New Roman"/>
                <w:color w:val="000000"/>
                <w:sz w:val="21"/>
                <w:szCs w:val="21"/>
                <w:shd w:val="clear" w:color="auto" w:fill="FFFFFF"/>
                <w:lang w:eastAsia="zh-CN"/>
              </w:rPr>
            </w:pPr>
            <w:r>
              <w:rPr>
                <w:rFonts w:ascii="Times New Roman" w:hAnsi="Times New Roman" w:eastAsia="方正仿宋_GBK" w:cs="Times New Roman"/>
                <w:color w:val="000000"/>
                <w:sz w:val="21"/>
                <w:szCs w:val="21"/>
                <w:shd w:val="clear" w:color="auto" w:fill="FFFFFF"/>
                <w:lang w:eastAsia="zh-CN"/>
              </w:rPr>
              <w:t>工作温度：-20℃～+70℃。</w:t>
            </w:r>
          </w:p>
        </w:tc>
        <w:tc>
          <w:tcPr>
            <w:tcW w:w="796" w:type="dxa"/>
            <w:noWrap w:val="0"/>
            <w:tcMar>
              <w:top w:w="57" w:type="dxa"/>
              <w:left w:w="57" w:type="dxa"/>
              <w:bottom w:w="57" w:type="dxa"/>
              <w:right w:w="57" w:type="dxa"/>
            </w:tcMar>
            <w:vAlign w:val="center"/>
          </w:tcPr>
          <w:p w14:paraId="05DF78A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对</w:t>
            </w:r>
          </w:p>
        </w:tc>
        <w:tc>
          <w:tcPr>
            <w:tcW w:w="1087" w:type="dxa"/>
            <w:noWrap w:val="0"/>
            <w:tcMar>
              <w:top w:w="57" w:type="dxa"/>
              <w:left w:w="57" w:type="dxa"/>
              <w:bottom w:w="57" w:type="dxa"/>
              <w:right w:w="57" w:type="dxa"/>
            </w:tcMar>
            <w:vAlign w:val="center"/>
          </w:tcPr>
          <w:p w14:paraId="10E7DF3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6A3BA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4473DB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3</w:t>
            </w:r>
          </w:p>
        </w:tc>
        <w:tc>
          <w:tcPr>
            <w:tcW w:w="1492" w:type="dxa"/>
            <w:noWrap w:val="0"/>
            <w:tcMar>
              <w:top w:w="57" w:type="dxa"/>
              <w:left w:w="57" w:type="dxa"/>
              <w:bottom w:w="57" w:type="dxa"/>
              <w:right w:w="57" w:type="dxa"/>
            </w:tcMar>
            <w:vAlign w:val="center"/>
          </w:tcPr>
          <w:p w14:paraId="38E5947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防水机柜</w:t>
            </w:r>
          </w:p>
        </w:tc>
        <w:tc>
          <w:tcPr>
            <w:tcW w:w="4422" w:type="dxa"/>
            <w:noWrap w:val="0"/>
            <w:tcMar>
              <w:top w:w="57" w:type="dxa"/>
              <w:left w:w="57" w:type="dxa"/>
              <w:bottom w:w="57" w:type="dxa"/>
              <w:right w:w="57" w:type="dxa"/>
            </w:tcMar>
            <w:vAlign w:val="center"/>
          </w:tcPr>
          <w:p w14:paraId="3C1CF44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1、尺寸</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高*宽*深</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：1500*800*600MM。</w:t>
            </w:r>
          </w:p>
          <w:p w14:paraId="50E5941A">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2、配备空调。</w:t>
            </w:r>
          </w:p>
        </w:tc>
        <w:tc>
          <w:tcPr>
            <w:tcW w:w="796" w:type="dxa"/>
            <w:noWrap w:val="0"/>
            <w:tcMar>
              <w:top w:w="57" w:type="dxa"/>
              <w:left w:w="57" w:type="dxa"/>
              <w:bottom w:w="57" w:type="dxa"/>
              <w:right w:w="57" w:type="dxa"/>
            </w:tcMar>
            <w:vAlign w:val="center"/>
          </w:tcPr>
          <w:p w14:paraId="72BDAFA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1E9724E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09407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2DCBFE8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4</w:t>
            </w:r>
          </w:p>
        </w:tc>
        <w:tc>
          <w:tcPr>
            <w:tcW w:w="1492" w:type="dxa"/>
            <w:noWrap w:val="0"/>
            <w:tcMar>
              <w:top w:w="57" w:type="dxa"/>
              <w:left w:w="57" w:type="dxa"/>
              <w:bottom w:w="57" w:type="dxa"/>
              <w:right w:w="57" w:type="dxa"/>
            </w:tcMar>
            <w:vAlign w:val="center"/>
          </w:tcPr>
          <w:p w14:paraId="1DBF2D22">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工控机</w:t>
            </w:r>
          </w:p>
        </w:tc>
        <w:tc>
          <w:tcPr>
            <w:tcW w:w="4422" w:type="dxa"/>
            <w:noWrap w:val="0"/>
            <w:tcMar>
              <w:top w:w="57" w:type="dxa"/>
              <w:left w:w="57" w:type="dxa"/>
              <w:bottom w:w="57" w:type="dxa"/>
              <w:right w:w="57" w:type="dxa"/>
            </w:tcMar>
            <w:vAlign w:val="center"/>
          </w:tcPr>
          <w:p w14:paraId="1764448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1、CPU。</w:t>
            </w:r>
          </w:p>
          <w:p w14:paraId="24104734">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2、内存：16G。</w:t>
            </w:r>
          </w:p>
          <w:p w14:paraId="18FCB5D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3、硬盘：1T 。</w:t>
            </w:r>
          </w:p>
          <w:p w14:paraId="03595B99">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4、网口：10/100/1000M。</w:t>
            </w:r>
          </w:p>
          <w:p w14:paraId="135780B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w:t>
            </w:r>
            <w:r>
              <w:rPr>
                <w:rFonts w:ascii="Times New Roman" w:hAnsi="Times New Roman" w:eastAsia="方正仿宋_GBK" w:cs="Times New Roman"/>
                <w:color w:val="000000"/>
                <w:sz w:val="21"/>
                <w:szCs w:val="21"/>
                <w:shd w:val="clear" w:color="auto" w:fill="FFFFFF"/>
                <w:lang w:eastAsia="zh-CN"/>
              </w:rPr>
              <w:t>工作温度：-20℃～+70℃。</w:t>
            </w:r>
          </w:p>
        </w:tc>
        <w:tc>
          <w:tcPr>
            <w:tcW w:w="796" w:type="dxa"/>
            <w:noWrap w:val="0"/>
            <w:tcMar>
              <w:top w:w="57" w:type="dxa"/>
              <w:left w:w="57" w:type="dxa"/>
              <w:bottom w:w="57" w:type="dxa"/>
              <w:right w:w="57" w:type="dxa"/>
            </w:tcMar>
            <w:vAlign w:val="center"/>
          </w:tcPr>
          <w:p w14:paraId="6197512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5E4CBC4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0E3BE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C6AA01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5</w:t>
            </w:r>
          </w:p>
        </w:tc>
        <w:tc>
          <w:tcPr>
            <w:tcW w:w="1492" w:type="dxa"/>
            <w:noWrap w:val="0"/>
            <w:tcMar>
              <w:top w:w="57" w:type="dxa"/>
              <w:left w:w="57" w:type="dxa"/>
              <w:bottom w:w="57" w:type="dxa"/>
              <w:right w:w="57" w:type="dxa"/>
            </w:tcMar>
            <w:vAlign w:val="center"/>
          </w:tcPr>
          <w:p w14:paraId="189527A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4G路由器</w:t>
            </w:r>
          </w:p>
        </w:tc>
        <w:tc>
          <w:tcPr>
            <w:tcW w:w="4422" w:type="dxa"/>
            <w:noWrap w:val="0"/>
            <w:tcMar>
              <w:top w:w="57" w:type="dxa"/>
              <w:left w:w="57" w:type="dxa"/>
              <w:bottom w:w="57" w:type="dxa"/>
              <w:right w:w="57" w:type="dxa"/>
            </w:tcMar>
            <w:vAlign w:val="center"/>
          </w:tcPr>
          <w:p w14:paraId="2A152330">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1、有线传输率：千兆端口。</w:t>
            </w:r>
          </w:p>
          <w:p w14:paraId="5BCCE9F4">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2、支持频率：4G。</w:t>
            </w:r>
          </w:p>
          <w:p w14:paraId="3756AD3B">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3、单月不少于80G流量。</w:t>
            </w:r>
          </w:p>
        </w:tc>
        <w:tc>
          <w:tcPr>
            <w:tcW w:w="796" w:type="dxa"/>
            <w:noWrap w:val="0"/>
            <w:tcMar>
              <w:top w:w="57" w:type="dxa"/>
              <w:left w:w="57" w:type="dxa"/>
              <w:bottom w:w="57" w:type="dxa"/>
              <w:right w:w="57" w:type="dxa"/>
            </w:tcMar>
            <w:vAlign w:val="center"/>
          </w:tcPr>
          <w:p w14:paraId="54C1F3B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台</w:t>
            </w:r>
          </w:p>
        </w:tc>
        <w:tc>
          <w:tcPr>
            <w:tcW w:w="1087" w:type="dxa"/>
            <w:noWrap w:val="0"/>
            <w:tcMar>
              <w:top w:w="57" w:type="dxa"/>
              <w:left w:w="57" w:type="dxa"/>
              <w:bottom w:w="57" w:type="dxa"/>
              <w:right w:w="57" w:type="dxa"/>
            </w:tcMar>
            <w:vAlign w:val="center"/>
          </w:tcPr>
          <w:p w14:paraId="4A1B063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6C37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35BA1EB2">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6</w:t>
            </w:r>
          </w:p>
        </w:tc>
        <w:tc>
          <w:tcPr>
            <w:tcW w:w="1492" w:type="dxa"/>
            <w:noWrap w:val="0"/>
            <w:tcMar>
              <w:top w:w="57" w:type="dxa"/>
              <w:left w:w="57" w:type="dxa"/>
              <w:bottom w:w="57" w:type="dxa"/>
              <w:right w:w="57" w:type="dxa"/>
            </w:tcMar>
            <w:vAlign w:val="center"/>
          </w:tcPr>
          <w:p w14:paraId="767DDCD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4G 断路器</w:t>
            </w:r>
          </w:p>
        </w:tc>
        <w:tc>
          <w:tcPr>
            <w:tcW w:w="4422" w:type="dxa"/>
            <w:noWrap w:val="0"/>
            <w:tcMar>
              <w:top w:w="57" w:type="dxa"/>
              <w:left w:w="57" w:type="dxa"/>
              <w:bottom w:w="57" w:type="dxa"/>
              <w:right w:w="57" w:type="dxa"/>
            </w:tcMar>
            <w:vAlign w:val="center"/>
          </w:tcPr>
          <w:p w14:paraId="3062ACB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1、额定电压：220V。</w:t>
            </w:r>
          </w:p>
          <w:p w14:paraId="5EB160B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2、防护等级：IP20。</w:t>
            </w:r>
          </w:p>
          <w:p w14:paraId="31720F72">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hint="eastAsia" w:ascii="Times New Roman" w:hAnsi="Times New Roman" w:eastAsia="方正仿宋_GBK" w:cs="Times New Roman"/>
                <w:color w:val="000000"/>
                <w:spacing w:val="-3"/>
                <w:sz w:val="21"/>
                <w:szCs w:val="21"/>
                <w:lang w:val="en-US" w:eastAsia="zh-CN"/>
              </w:rPr>
              <w:t>3</w:t>
            </w:r>
            <w:r>
              <w:rPr>
                <w:rFonts w:ascii="Times New Roman" w:hAnsi="Times New Roman" w:eastAsia="方正仿宋_GBK" w:cs="Times New Roman"/>
                <w:color w:val="000000"/>
                <w:spacing w:val="-3"/>
                <w:sz w:val="21"/>
                <w:szCs w:val="21"/>
                <w:lang w:eastAsia="zh-CN"/>
              </w:rPr>
              <w:t>、机械寿命：大于 1 万次。</w:t>
            </w:r>
          </w:p>
          <w:p w14:paraId="01224245">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hint="eastAsia" w:ascii="Times New Roman" w:hAnsi="Times New Roman" w:eastAsia="方正仿宋_GBK" w:cs="Times New Roman"/>
                <w:color w:val="000000"/>
                <w:spacing w:val="-3"/>
                <w:sz w:val="21"/>
                <w:szCs w:val="21"/>
                <w:lang w:val="en-US" w:eastAsia="zh-CN"/>
              </w:rPr>
              <w:t>4</w:t>
            </w:r>
            <w:r>
              <w:rPr>
                <w:rFonts w:ascii="Times New Roman" w:hAnsi="Times New Roman" w:eastAsia="方正仿宋_GBK" w:cs="Times New Roman"/>
                <w:color w:val="000000"/>
                <w:spacing w:val="-3"/>
                <w:sz w:val="21"/>
                <w:szCs w:val="21"/>
                <w:lang w:eastAsia="zh-CN"/>
              </w:rPr>
              <w:t>、电气寿命：大于 6000 次。</w:t>
            </w:r>
          </w:p>
        </w:tc>
        <w:tc>
          <w:tcPr>
            <w:tcW w:w="796" w:type="dxa"/>
            <w:noWrap w:val="0"/>
            <w:tcMar>
              <w:top w:w="57" w:type="dxa"/>
              <w:left w:w="57" w:type="dxa"/>
              <w:bottom w:w="57" w:type="dxa"/>
              <w:right w:w="57" w:type="dxa"/>
            </w:tcMar>
            <w:vAlign w:val="center"/>
          </w:tcPr>
          <w:p w14:paraId="16B9D97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7B4542BC">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6E95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18F26D2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7</w:t>
            </w:r>
          </w:p>
        </w:tc>
        <w:tc>
          <w:tcPr>
            <w:tcW w:w="1492" w:type="dxa"/>
            <w:noWrap w:val="0"/>
            <w:tcMar>
              <w:top w:w="57" w:type="dxa"/>
              <w:left w:w="57" w:type="dxa"/>
              <w:bottom w:w="57" w:type="dxa"/>
              <w:right w:w="57" w:type="dxa"/>
            </w:tcMar>
            <w:vAlign w:val="center"/>
          </w:tcPr>
          <w:p w14:paraId="2A146D5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浪涌保护器</w:t>
            </w:r>
          </w:p>
        </w:tc>
        <w:tc>
          <w:tcPr>
            <w:tcW w:w="4422" w:type="dxa"/>
            <w:noWrap w:val="0"/>
            <w:tcMar>
              <w:top w:w="57" w:type="dxa"/>
              <w:left w:w="57" w:type="dxa"/>
              <w:bottom w:w="57" w:type="dxa"/>
              <w:right w:w="57" w:type="dxa"/>
            </w:tcMar>
            <w:vAlign w:val="center"/>
          </w:tcPr>
          <w:p w14:paraId="0AE539EB">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1、输入电压：220v。</w:t>
            </w:r>
          </w:p>
          <w:p w14:paraId="3C0E5EF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2、频率 50Hz。</w:t>
            </w:r>
          </w:p>
          <w:p w14:paraId="76FF39F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3、最大放电电流：＞20KA。</w:t>
            </w:r>
          </w:p>
          <w:p w14:paraId="3587D33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4、卸载后电压残压：≤20KV。</w:t>
            </w:r>
          </w:p>
        </w:tc>
        <w:tc>
          <w:tcPr>
            <w:tcW w:w="796" w:type="dxa"/>
            <w:noWrap w:val="0"/>
            <w:tcMar>
              <w:top w:w="57" w:type="dxa"/>
              <w:left w:w="57" w:type="dxa"/>
              <w:bottom w:w="57" w:type="dxa"/>
              <w:right w:w="57" w:type="dxa"/>
            </w:tcMar>
            <w:vAlign w:val="center"/>
          </w:tcPr>
          <w:p w14:paraId="631AFB2E">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6478C25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3D01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4923E8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1</w:t>
            </w:r>
            <w:r>
              <w:rPr>
                <w:rFonts w:ascii="Times New Roman" w:hAnsi="Times New Roman" w:eastAsia="方正仿宋_GBK" w:cs="Times New Roman"/>
                <w:color w:val="000000"/>
                <w:spacing w:val="-3"/>
                <w:sz w:val="21"/>
                <w:szCs w:val="21"/>
                <w:lang w:eastAsia="zh-CN"/>
              </w:rPr>
              <w:t>8</w:t>
            </w:r>
          </w:p>
        </w:tc>
        <w:tc>
          <w:tcPr>
            <w:tcW w:w="1492" w:type="dxa"/>
            <w:noWrap w:val="0"/>
            <w:tcMar>
              <w:top w:w="57" w:type="dxa"/>
              <w:left w:w="57" w:type="dxa"/>
              <w:bottom w:w="57" w:type="dxa"/>
              <w:right w:w="57" w:type="dxa"/>
            </w:tcMar>
            <w:vAlign w:val="center"/>
          </w:tcPr>
          <w:p w14:paraId="7B6D20F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12V 电源模块</w:t>
            </w:r>
          </w:p>
        </w:tc>
        <w:tc>
          <w:tcPr>
            <w:tcW w:w="4422" w:type="dxa"/>
            <w:noWrap w:val="0"/>
            <w:tcMar>
              <w:top w:w="57" w:type="dxa"/>
              <w:left w:w="57" w:type="dxa"/>
              <w:bottom w:w="57" w:type="dxa"/>
              <w:right w:w="57" w:type="dxa"/>
            </w:tcMar>
            <w:vAlign w:val="center"/>
          </w:tcPr>
          <w:p w14:paraId="25C01D59">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1、直流电压：12V。</w:t>
            </w:r>
          </w:p>
          <w:p w14:paraId="26E01FA8">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2、额定电流：10A。</w:t>
            </w:r>
          </w:p>
          <w:p w14:paraId="0E0D15D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3、电压精度：±2%。</w:t>
            </w:r>
          </w:p>
          <w:p w14:paraId="02ECEB7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4、工作温度：-20℃～60℃。</w:t>
            </w:r>
          </w:p>
          <w:p w14:paraId="5EA0ECF6">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5、工作湿度：20-95%RH。</w:t>
            </w:r>
          </w:p>
        </w:tc>
        <w:tc>
          <w:tcPr>
            <w:tcW w:w="796" w:type="dxa"/>
            <w:noWrap w:val="0"/>
            <w:tcMar>
              <w:top w:w="57" w:type="dxa"/>
              <w:left w:w="57" w:type="dxa"/>
              <w:bottom w:w="57" w:type="dxa"/>
              <w:right w:w="57" w:type="dxa"/>
            </w:tcMar>
            <w:vAlign w:val="center"/>
          </w:tcPr>
          <w:p w14:paraId="7867726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0114A445">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00CD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49CFA76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19</w:t>
            </w:r>
          </w:p>
        </w:tc>
        <w:tc>
          <w:tcPr>
            <w:tcW w:w="1492" w:type="dxa"/>
            <w:noWrap w:val="0"/>
            <w:tcMar>
              <w:top w:w="57" w:type="dxa"/>
              <w:left w:w="57" w:type="dxa"/>
              <w:bottom w:w="57" w:type="dxa"/>
              <w:right w:w="57" w:type="dxa"/>
            </w:tcMar>
            <w:vAlign w:val="center"/>
          </w:tcPr>
          <w:p w14:paraId="02822D2A">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24V 电源模块</w:t>
            </w:r>
          </w:p>
        </w:tc>
        <w:tc>
          <w:tcPr>
            <w:tcW w:w="4422" w:type="dxa"/>
            <w:noWrap w:val="0"/>
            <w:tcMar>
              <w:top w:w="57" w:type="dxa"/>
              <w:left w:w="57" w:type="dxa"/>
              <w:bottom w:w="57" w:type="dxa"/>
              <w:right w:w="57" w:type="dxa"/>
            </w:tcMar>
            <w:vAlign w:val="center"/>
          </w:tcPr>
          <w:p w14:paraId="1381030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1、直流电压：24V。</w:t>
            </w:r>
          </w:p>
          <w:p w14:paraId="1522CF92">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2、额定电流：5A。</w:t>
            </w:r>
          </w:p>
          <w:p w14:paraId="6EB22A64">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3、电压精度：±2%。</w:t>
            </w:r>
          </w:p>
          <w:p w14:paraId="778BE980">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4、工作温度：-20℃～60℃。</w:t>
            </w:r>
          </w:p>
          <w:p w14:paraId="2F35E218">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5、工作湿度：20～95%RH。</w:t>
            </w:r>
          </w:p>
        </w:tc>
        <w:tc>
          <w:tcPr>
            <w:tcW w:w="796" w:type="dxa"/>
            <w:noWrap w:val="0"/>
            <w:tcMar>
              <w:top w:w="57" w:type="dxa"/>
              <w:left w:w="57" w:type="dxa"/>
              <w:bottom w:w="57" w:type="dxa"/>
              <w:right w:w="57" w:type="dxa"/>
            </w:tcMar>
            <w:vAlign w:val="center"/>
          </w:tcPr>
          <w:p w14:paraId="715BEFA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个</w:t>
            </w:r>
          </w:p>
        </w:tc>
        <w:tc>
          <w:tcPr>
            <w:tcW w:w="1087" w:type="dxa"/>
            <w:noWrap w:val="0"/>
            <w:tcMar>
              <w:top w:w="57" w:type="dxa"/>
              <w:left w:w="57" w:type="dxa"/>
              <w:bottom w:w="57" w:type="dxa"/>
              <w:right w:w="57" w:type="dxa"/>
            </w:tcMar>
            <w:vAlign w:val="center"/>
          </w:tcPr>
          <w:p w14:paraId="2638C83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3</w:t>
            </w:r>
          </w:p>
        </w:tc>
      </w:tr>
      <w:tr w14:paraId="4828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0A0EFB85">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2</w:t>
            </w:r>
            <w:r>
              <w:rPr>
                <w:rFonts w:ascii="Times New Roman" w:hAnsi="Times New Roman" w:eastAsia="方正仿宋_GBK" w:cs="Times New Roman"/>
                <w:color w:val="000000"/>
                <w:spacing w:val="-3"/>
                <w:sz w:val="21"/>
                <w:szCs w:val="21"/>
                <w:lang w:eastAsia="zh-CN"/>
              </w:rPr>
              <w:t>0</w:t>
            </w:r>
          </w:p>
        </w:tc>
        <w:tc>
          <w:tcPr>
            <w:tcW w:w="1492" w:type="dxa"/>
            <w:noWrap w:val="0"/>
            <w:tcMar>
              <w:top w:w="57" w:type="dxa"/>
              <w:left w:w="57" w:type="dxa"/>
              <w:bottom w:w="57" w:type="dxa"/>
              <w:right w:w="57" w:type="dxa"/>
            </w:tcMar>
            <w:vAlign w:val="center"/>
          </w:tcPr>
          <w:p w14:paraId="08E7F9A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监控立杆</w:t>
            </w:r>
          </w:p>
        </w:tc>
        <w:tc>
          <w:tcPr>
            <w:tcW w:w="4422" w:type="dxa"/>
            <w:noWrap w:val="0"/>
            <w:tcMar>
              <w:top w:w="57" w:type="dxa"/>
              <w:left w:w="57" w:type="dxa"/>
              <w:bottom w:w="57" w:type="dxa"/>
              <w:right w:w="57" w:type="dxa"/>
            </w:tcMar>
            <w:vAlign w:val="center"/>
          </w:tcPr>
          <w:p w14:paraId="56D6796D">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监控立杆高度为4.5m，底座尺寸为400mm*400mm，管径为150mm，管壁厚度为10mm，具体根据现场实际情况确定。</w:t>
            </w:r>
          </w:p>
        </w:tc>
        <w:tc>
          <w:tcPr>
            <w:tcW w:w="796" w:type="dxa"/>
            <w:noWrap w:val="0"/>
            <w:tcMar>
              <w:top w:w="57" w:type="dxa"/>
              <w:left w:w="57" w:type="dxa"/>
              <w:bottom w:w="57" w:type="dxa"/>
              <w:right w:w="57" w:type="dxa"/>
            </w:tcMar>
            <w:vAlign w:val="center"/>
          </w:tcPr>
          <w:p w14:paraId="3FAB9FA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套</w:t>
            </w:r>
          </w:p>
        </w:tc>
        <w:tc>
          <w:tcPr>
            <w:tcW w:w="1087" w:type="dxa"/>
            <w:noWrap w:val="0"/>
            <w:tcMar>
              <w:top w:w="57" w:type="dxa"/>
              <w:left w:w="57" w:type="dxa"/>
              <w:bottom w:w="57" w:type="dxa"/>
              <w:right w:w="57" w:type="dxa"/>
            </w:tcMar>
            <w:vAlign w:val="center"/>
          </w:tcPr>
          <w:p w14:paraId="1B27DB9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6</w:t>
            </w:r>
          </w:p>
        </w:tc>
      </w:tr>
      <w:tr w14:paraId="6D4D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21C3450A">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rPr>
              <w:t>2</w:t>
            </w:r>
            <w:r>
              <w:rPr>
                <w:rFonts w:ascii="Times New Roman" w:hAnsi="Times New Roman" w:eastAsia="方正仿宋_GBK" w:cs="Times New Roman"/>
                <w:color w:val="000000"/>
                <w:spacing w:val="-3"/>
                <w:sz w:val="21"/>
                <w:szCs w:val="21"/>
                <w:lang w:eastAsia="zh-CN"/>
              </w:rPr>
              <w:t>1</w:t>
            </w:r>
          </w:p>
        </w:tc>
        <w:tc>
          <w:tcPr>
            <w:tcW w:w="1492" w:type="dxa"/>
            <w:noWrap w:val="0"/>
            <w:tcMar>
              <w:top w:w="57" w:type="dxa"/>
              <w:left w:w="57" w:type="dxa"/>
              <w:bottom w:w="57" w:type="dxa"/>
              <w:right w:w="57" w:type="dxa"/>
            </w:tcMar>
            <w:vAlign w:val="center"/>
          </w:tcPr>
          <w:p w14:paraId="023DC4E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电缆</w:t>
            </w:r>
          </w:p>
        </w:tc>
        <w:tc>
          <w:tcPr>
            <w:tcW w:w="4422" w:type="dxa"/>
            <w:noWrap w:val="0"/>
            <w:tcMar>
              <w:top w:w="57" w:type="dxa"/>
              <w:left w:w="57" w:type="dxa"/>
              <w:bottom w:w="57" w:type="dxa"/>
              <w:right w:w="57" w:type="dxa"/>
            </w:tcMar>
            <w:vAlign w:val="center"/>
          </w:tcPr>
          <w:p w14:paraId="139790AF">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RVV3*4（市电接入）。</w:t>
            </w:r>
          </w:p>
        </w:tc>
        <w:tc>
          <w:tcPr>
            <w:tcW w:w="796" w:type="dxa"/>
            <w:noWrap w:val="0"/>
            <w:tcMar>
              <w:top w:w="57" w:type="dxa"/>
              <w:left w:w="57" w:type="dxa"/>
              <w:bottom w:w="57" w:type="dxa"/>
              <w:right w:w="57" w:type="dxa"/>
            </w:tcMar>
            <w:vAlign w:val="center"/>
          </w:tcPr>
          <w:p w14:paraId="2D326CCA">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44D8FDD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r w14:paraId="6FF4A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2117330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22</w:t>
            </w:r>
          </w:p>
        </w:tc>
        <w:tc>
          <w:tcPr>
            <w:tcW w:w="1492" w:type="dxa"/>
            <w:noWrap w:val="0"/>
            <w:tcMar>
              <w:top w:w="57" w:type="dxa"/>
              <w:left w:w="57" w:type="dxa"/>
              <w:bottom w:w="57" w:type="dxa"/>
              <w:right w:w="57" w:type="dxa"/>
            </w:tcMar>
            <w:vAlign w:val="center"/>
          </w:tcPr>
          <w:p w14:paraId="51C56C0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镀锌钢管</w:t>
            </w:r>
          </w:p>
        </w:tc>
        <w:tc>
          <w:tcPr>
            <w:tcW w:w="4422" w:type="dxa"/>
            <w:noWrap w:val="0"/>
            <w:tcMar>
              <w:top w:w="57" w:type="dxa"/>
              <w:left w:w="57" w:type="dxa"/>
              <w:bottom w:w="57" w:type="dxa"/>
              <w:right w:w="57" w:type="dxa"/>
            </w:tcMar>
            <w:vAlign w:val="center"/>
          </w:tcPr>
          <w:p w14:paraId="71992760">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φ20，壁厚≥2.75mm。</w:t>
            </w:r>
          </w:p>
        </w:tc>
        <w:tc>
          <w:tcPr>
            <w:tcW w:w="796" w:type="dxa"/>
            <w:noWrap w:val="0"/>
            <w:tcMar>
              <w:top w:w="57" w:type="dxa"/>
              <w:left w:w="57" w:type="dxa"/>
              <w:bottom w:w="57" w:type="dxa"/>
              <w:right w:w="57" w:type="dxa"/>
            </w:tcMar>
            <w:vAlign w:val="center"/>
          </w:tcPr>
          <w:p w14:paraId="1C4F60B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481D5C1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r w14:paraId="5FE98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66F6FE32">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23</w:t>
            </w:r>
          </w:p>
        </w:tc>
        <w:tc>
          <w:tcPr>
            <w:tcW w:w="1492" w:type="dxa"/>
            <w:noWrap w:val="0"/>
            <w:tcMar>
              <w:top w:w="57" w:type="dxa"/>
              <w:left w:w="57" w:type="dxa"/>
              <w:bottom w:w="57" w:type="dxa"/>
              <w:right w:w="57" w:type="dxa"/>
            </w:tcMar>
            <w:vAlign w:val="center"/>
          </w:tcPr>
          <w:p w14:paraId="0337170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桥架</w:t>
            </w:r>
          </w:p>
        </w:tc>
        <w:tc>
          <w:tcPr>
            <w:tcW w:w="4422" w:type="dxa"/>
            <w:noWrap w:val="0"/>
            <w:tcMar>
              <w:top w:w="57" w:type="dxa"/>
              <w:left w:w="57" w:type="dxa"/>
              <w:bottom w:w="57" w:type="dxa"/>
              <w:right w:w="57" w:type="dxa"/>
            </w:tcMar>
            <w:vAlign w:val="center"/>
          </w:tcPr>
          <w:p w14:paraId="683326D7">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100mm*50mm。</w:t>
            </w:r>
          </w:p>
        </w:tc>
        <w:tc>
          <w:tcPr>
            <w:tcW w:w="796" w:type="dxa"/>
            <w:noWrap w:val="0"/>
            <w:tcMar>
              <w:top w:w="57" w:type="dxa"/>
              <w:left w:w="57" w:type="dxa"/>
              <w:bottom w:w="57" w:type="dxa"/>
              <w:right w:w="57" w:type="dxa"/>
            </w:tcMar>
            <w:vAlign w:val="center"/>
          </w:tcPr>
          <w:p w14:paraId="1ADB6177">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291A7DF0">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rPr>
            </w:pPr>
            <w:r>
              <w:rPr>
                <w:rFonts w:ascii="Times New Roman" w:hAnsi="Times New Roman" w:eastAsia="方正仿宋_GBK" w:cs="Times New Roman"/>
                <w:color w:val="000000"/>
                <w:spacing w:val="-3"/>
                <w:sz w:val="21"/>
                <w:szCs w:val="21"/>
              </w:rPr>
              <w:t>1</w:t>
            </w:r>
          </w:p>
        </w:tc>
      </w:tr>
      <w:tr w14:paraId="6D61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0DBB68E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24</w:t>
            </w:r>
          </w:p>
        </w:tc>
        <w:tc>
          <w:tcPr>
            <w:tcW w:w="1492" w:type="dxa"/>
            <w:noWrap w:val="0"/>
            <w:tcMar>
              <w:top w:w="57" w:type="dxa"/>
              <w:left w:w="57" w:type="dxa"/>
              <w:bottom w:w="57" w:type="dxa"/>
              <w:right w:w="57" w:type="dxa"/>
            </w:tcMar>
            <w:vAlign w:val="center"/>
          </w:tcPr>
          <w:p w14:paraId="23D41C13">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光缆</w:t>
            </w:r>
          </w:p>
        </w:tc>
        <w:tc>
          <w:tcPr>
            <w:tcW w:w="4422" w:type="dxa"/>
            <w:noWrap w:val="0"/>
            <w:tcMar>
              <w:top w:w="57" w:type="dxa"/>
              <w:left w:w="57" w:type="dxa"/>
              <w:bottom w:w="57" w:type="dxa"/>
              <w:right w:w="57" w:type="dxa"/>
            </w:tcMar>
            <w:vAlign w:val="center"/>
          </w:tcPr>
          <w:p w14:paraId="7F695FDE">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单模8芯。</w:t>
            </w:r>
          </w:p>
        </w:tc>
        <w:tc>
          <w:tcPr>
            <w:tcW w:w="796" w:type="dxa"/>
            <w:noWrap w:val="0"/>
            <w:tcMar>
              <w:top w:w="57" w:type="dxa"/>
              <w:left w:w="57" w:type="dxa"/>
              <w:bottom w:w="57" w:type="dxa"/>
              <w:right w:w="57" w:type="dxa"/>
            </w:tcMar>
            <w:vAlign w:val="center"/>
          </w:tcPr>
          <w:p w14:paraId="51C93DC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75E5365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r w14:paraId="2368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75398FFB">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25</w:t>
            </w:r>
          </w:p>
        </w:tc>
        <w:tc>
          <w:tcPr>
            <w:tcW w:w="1492" w:type="dxa"/>
            <w:noWrap w:val="0"/>
            <w:tcMar>
              <w:top w:w="57" w:type="dxa"/>
              <w:left w:w="57" w:type="dxa"/>
              <w:bottom w:w="57" w:type="dxa"/>
              <w:right w:w="57" w:type="dxa"/>
            </w:tcMar>
            <w:vAlign w:val="center"/>
          </w:tcPr>
          <w:p w14:paraId="772D04B1">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电线</w:t>
            </w:r>
          </w:p>
        </w:tc>
        <w:tc>
          <w:tcPr>
            <w:tcW w:w="4422" w:type="dxa"/>
            <w:noWrap w:val="0"/>
            <w:tcMar>
              <w:top w:w="57" w:type="dxa"/>
              <w:left w:w="57" w:type="dxa"/>
              <w:bottom w:w="57" w:type="dxa"/>
              <w:right w:w="57" w:type="dxa"/>
            </w:tcMar>
            <w:vAlign w:val="center"/>
          </w:tcPr>
          <w:p w14:paraId="7DD288C1">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RVV2*1.5。</w:t>
            </w:r>
          </w:p>
        </w:tc>
        <w:tc>
          <w:tcPr>
            <w:tcW w:w="796" w:type="dxa"/>
            <w:noWrap w:val="0"/>
            <w:tcMar>
              <w:top w:w="57" w:type="dxa"/>
              <w:left w:w="57" w:type="dxa"/>
              <w:bottom w:w="57" w:type="dxa"/>
              <w:right w:w="57" w:type="dxa"/>
            </w:tcMar>
            <w:vAlign w:val="center"/>
          </w:tcPr>
          <w:p w14:paraId="25DB93F4">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676A930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r w14:paraId="0A19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5B43BC88">
            <w:pPr>
              <w:pStyle w:val="338"/>
              <w:autoSpaceDE w:val="0"/>
              <w:autoSpaceDN w:val="0"/>
              <w:adjustRightInd w:val="0"/>
              <w:snapToGrid w:val="0"/>
              <w:spacing w:line="240" w:lineRule="exact"/>
              <w:jc w:val="center"/>
              <w:textAlignment w:val="baseline"/>
              <w:rPr>
                <w:rFonts w:ascii="Times New Roman" w:hAnsi="Times New Roman" w:eastAsia="方正仿宋_GBK" w:cs="Times New Roman"/>
                <w:snapToGrid w:val="0"/>
                <w:color w:val="000000"/>
                <w:spacing w:val="-3"/>
                <w:sz w:val="21"/>
                <w:szCs w:val="21"/>
                <w:lang w:eastAsia="zh-CN"/>
              </w:rPr>
            </w:pPr>
            <w:r>
              <w:rPr>
                <w:rFonts w:ascii="Times New Roman" w:hAnsi="Times New Roman" w:eastAsia="方正仿宋_GBK" w:cs="Times New Roman"/>
                <w:color w:val="000000"/>
                <w:spacing w:val="-3"/>
                <w:sz w:val="21"/>
                <w:szCs w:val="21"/>
                <w:lang w:eastAsia="zh-CN"/>
              </w:rPr>
              <w:t>26</w:t>
            </w:r>
          </w:p>
        </w:tc>
        <w:tc>
          <w:tcPr>
            <w:tcW w:w="1492" w:type="dxa"/>
            <w:noWrap w:val="0"/>
            <w:tcMar>
              <w:top w:w="57" w:type="dxa"/>
              <w:left w:w="57" w:type="dxa"/>
              <w:bottom w:w="57" w:type="dxa"/>
              <w:right w:w="57" w:type="dxa"/>
            </w:tcMar>
            <w:vAlign w:val="center"/>
          </w:tcPr>
          <w:p w14:paraId="3AFDEB72">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网线</w:t>
            </w:r>
          </w:p>
        </w:tc>
        <w:tc>
          <w:tcPr>
            <w:tcW w:w="4422" w:type="dxa"/>
            <w:noWrap w:val="0"/>
            <w:tcMar>
              <w:top w:w="57" w:type="dxa"/>
              <w:left w:w="57" w:type="dxa"/>
              <w:bottom w:w="57" w:type="dxa"/>
              <w:right w:w="57" w:type="dxa"/>
            </w:tcMar>
            <w:vAlign w:val="center"/>
          </w:tcPr>
          <w:p w14:paraId="254F1AA3">
            <w:pPr>
              <w:pStyle w:val="338"/>
              <w:autoSpaceDE w:val="0"/>
              <w:autoSpaceDN w:val="0"/>
              <w:adjustRightInd w:val="0"/>
              <w:snapToGrid w:val="0"/>
              <w:spacing w:line="240" w:lineRule="exact"/>
              <w:ind w:firstLine="99" w:firstLineChars="49"/>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超五类。</w:t>
            </w:r>
          </w:p>
        </w:tc>
        <w:tc>
          <w:tcPr>
            <w:tcW w:w="796" w:type="dxa"/>
            <w:noWrap w:val="0"/>
            <w:tcMar>
              <w:top w:w="57" w:type="dxa"/>
              <w:left w:w="57" w:type="dxa"/>
              <w:bottom w:w="57" w:type="dxa"/>
              <w:right w:w="57" w:type="dxa"/>
            </w:tcMar>
            <w:vAlign w:val="center"/>
          </w:tcPr>
          <w:p w14:paraId="75B179E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418B73A6">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r w14:paraId="7C2A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noWrap w:val="0"/>
            <w:tcMar>
              <w:top w:w="57" w:type="dxa"/>
              <w:left w:w="57" w:type="dxa"/>
              <w:bottom w:w="57" w:type="dxa"/>
              <w:right w:w="57" w:type="dxa"/>
            </w:tcMar>
            <w:vAlign w:val="center"/>
          </w:tcPr>
          <w:p w14:paraId="1C2A1FDF">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27</w:t>
            </w:r>
          </w:p>
        </w:tc>
        <w:tc>
          <w:tcPr>
            <w:tcW w:w="1492" w:type="dxa"/>
            <w:noWrap w:val="0"/>
            <w:tcMar>
              <w:top w:w="57" w:type="dxa"/>
              <w:left w:w="57" w:type="dxa"/>
              <w:bottom w:w="57" w:type="dxa"/>
              <w:right w:w="57" w:type="dxa"/>
            </w:tcMar>
            <w:vAlign w:val="center"/>
          </w:tcPr>
          <w:p w14:paraId="11E86B6E">
            <w:pPr>
              <w:pStyle w:val="338"/>
              <w:autoSpaceDE w:val="0"/>
              <w:autoSpaceDN w:val="0"/>
              <w:adjustRightInd w:val="0"/>
              <w:snapToGrid w:val="0"/>
              <w:spacing w:line="240" w:lineRule="exact"/>
              <w:jc w:val="center"/>
              <w:textAlignment w:val="baseline"/>
              <w:rPr>
                <w:rFonts w:hint="eastAsia" w:ascii="Times New Roman" w:hAnsi="Times New Roman" w:eastAsia="方正仿宋_GBK" w:cs="Times New Roman"/>
                <w:color w:val="000000"/>
                <w:spacing w:val="-3"/>
                <w:sz w:val="21"/>
                <w:szCs w:val="21"/>
                <w:lang w:eastAsia="zh-CN"/>
              </w:rPr>
            </w:pPr>
            <w:r>
              <w:rPr>
                <w:rFonts w:hint="eastAsia" w:ascii="Times New Roman" w:hAnsi="Times New Roman" w:eastAsia="方正仿宋_GBK" w:cs="Times New Roman"/>
                <w:color w:val="000000"/>
                <w:spacing w:val="-3"/>
                <w:sz w:val="21"/>
                <w:szCs w:val="21"/>
                <w:lang w:eastAsia="zh-CN"/>
              </w:rPr>
              <w:t>其他</w:t>
            </w:r>
          </w:p>
        </w:tc>
        <w:tc>
          <w:tcPr>
            <w:tcW w:w="4422" w:type="dxa"/>
            <w:noWrap w:val="0"/>
            <w:tcMar>
              <w:top w:w="57" w:type="dxa"/>
              <w:left w:w="57" w:type="dxa"/>
              <w:bottom w:w="57" w:type="dxa"/>
              <w:right w:w="57" w:type="dxa"/>
            </w:tcMar>
            <w:vAlign w:val="center"/>
          </w:tcPr>
          <w:p w14:paraId="725CC751">
            <w:pPr>
              <w:pStyle w:val="338"/>
              <w:autoSpaceDE w:val="0"/>
              <w:autoSpaceDN w:val="0"/>
              <w:adjustRightInd w:val="0"/>
              <w:snapToGrid w:val="0"/>
              <w:spacing w:line="240" w:lineRule="exact"/>
              <w:jc w:val="both"/>
              <w:textAlignment w:val="baseline"/>
              <w:rPr>
                <w:rFonts w:ascii="Times New Roman" w:hAnsi="Times New Roman" w:eastAsia="方正仿宋_GBK" w:cs="Times New Roman"/>
                <w:color w:val="000000"/>
                <w:spacing w:val="-3"/>
                <w:sz w:val="21"/>
                <w:szCs w:val="21"/>
                <w:lang w:eastAsia="zh-CN"/>
              </w:rPr>
            </w:pPr>
            <w:r>
              <w:rPr>
                <w:rFonts w:ascii="Times New Roman" w:hAnsi="Times New Roman" w:eastAsia="方正仿宋_GBK" w:cs="Times New Roman"/>
                <w:color w:val="000000"/>
                <w:spacing w:val="-3"/>
                <w:sz w:val="21"/>
                <w:szCs w:val="21"/>
                <w:lang w:eastAsia="zh-CN"/>
              </w:rPr>
              <w:t>包含设备固定架、保护罩、线缆配线排、连接线缆、插排、空气开关等相关安装材料</w:t>
            </w:r>
            <w:r>
              <w:rPr>
                <w:rFonts w:hint="eastAsia" w:ascii="Times New Roman" w:hAnsi="Times New Roman" w:eastAsia="方正仿宋_GBK" w:cs="Times New Roman"/>
                <w:color w:val="000000"/>
                <w:spacing w:val="-3"/>
                <w:sz w:val="21"/>
                <w:szCs w:val="21"/>
                <w:lang w:eastAsia="zh-CN"/>
              </w:rPr>
              <w:t>、</w:t>
            </w:r>
            <w:r>
              <w:rPr>
                <w:rFonts w:ascii="Times New Roman" w:hAnsi="Times New Roman" w:eastAsia="方正仿宋_GBK" w:cs="Times New Roman"/>
                <w:color w:val="000000"/>
                <w:spacing w:val="-3"/>
                <w:sz w:val="21"/>
                <w:szCs w:val="21"/>
                <w:lang w:eastAsia="zh-CN"/>
              </w:rPr>
              <w:t>桥梁监测设备的安装、调试</w:t>
            </w:r>
            <w:r>
              <w:rPr>
                <w:rFonts w:hint="eastAsia" w:ascii="Times New Roman" w:hAnsi="Times New Roman" w:eastAsia="方正仿宋_GBK" w:cs="Times New Roman"/>
                <w:color w:val="000000"/>
                <w:spacing w:val="-3"/>
                <w:sz w:val="21"/>
                <w:szCs w:val="21"/>
                <w:lang w:eastAsia="zh-CN"/>
              </w:rPr>
              <w:t>及数据接入指定监测平台</w:t>
            </w:r>
            <w:r>
              <w:rPr>
                <w:rFonts w:ascii="Times New Roman" w:hAnsi="Times New Roman" w:eastAsia="方正仿宋_GBK" w:cs="Times New Roman"/>
                <w:color w:val="000000"/>
                <w:spacing w:val="-3"/>
                <w:sz w:val="21"/>
                <w:szCs w:val="21"/>
                <w:lang w:eastAsia="zh-CN"/>
              </w:rPr>
              <w:t>等</w:t>
            </w:r>
            <w:r>
              <w:rPr>
                <w:rFonts w:hint="eastAsia" w:ascii="Times New Roman" w:hAnsi="Times New Roman" w:eastAsia="方正仿宋_GBK" w:cs="Times New Roman"/>
                <w:color w:val="000000"/>
                <w:spacing w:val="-3"/>
                <w:sz w:val="21"/>
                <w:szCs w:val="21"/>
                <w:lang w:eastAsia="zh-CN"/>
              </w:rPr>
              <w:t>完成本项目一切费用。</w:t>
            </w:r>
          </w:p>
        </w:tc>
        <w:tc>
          <w:tcPr>
            <w:tcW w:w="796" w:type="dxa"/>
            <w:noWrap w:val="0"/>
            <w:tcMar>
              <w:top w:w="57" w:type="dxa"/>
              <w:left w:w="57" w:type="dxa"/>
              <w:bottom w:w="57" w:type="dxa"/>
              <w:right w:w="57" w:type="dxa"/>
            </w:tcMar>
            <w:vAlign w:val="center"/>
          </w:tcPr>
          <w:p w14:paraId="31A2BEB9">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项</w:t>
            </w:r>
          </w:p>
        </w:tc>
        <w:tc>
          <w:tcPr>
            <w:tcW w:w="1087" w:type="dxa"/>
            <w:noWrap w:val="0"/>
            <w:tcMar>
              <w:top w:w="57" w:type="dxa"/>
              <w:left w:w="57" w:type="dxa"/>
              <w:bottom w:w="57" w:type="dxa"/>
              <w:right w:w="57" w:type="dxa"/>
            </w:tcMar>
            <w:vAlign w:val="center"/>
          </w:tcPr>
          <w:p w14:paraId="2E10D1FD">
            <w:pPr>
              <w:pStyle w:val="338"/>
              <w:autoSpaceDE w:val="0"/>
              <w:autoSpaceDN w:val="0"/>
              <w:adjustRightInd w:val="0"/>
              <w:snapToGrid w:val="0"/>
              <w:spacing w:line="240" w:lineRule="exact"/>
              <w:jc w:val="center"/>
              <w:textAlignment w:val="baseline"/>
              <w:rPr>
                <w:rFonts w:ascii="Times New Roman" w:hAnsi="Times New Roman" w:eastAsia="方正仿宋_GBK" w:cs="Times New Roman"/>
                <w:color w:val="000000"/>
                <w:spacing w:val="-3"/>
                <w:sz w:val="21"/>
                <w:szCs w:val="21"/>
              </w:rPr>
            </w:pPr>
            <w:r>
              <w:rPr>
                <w:rFonts w:ascii="Times New Roman" w:hAnsi="Times New Roman" w:eastAsia="方正仿宋_GBK" w:cs="Times New Roman"/>
                <w:color w:val="000000"/>
                <w:spacing w:val="-3"/>
                <w:sz w:val="21"/>
                <w:szCs w:val="21"/>
              </w:rPr>
              <w:t>1</w:t>
            </w:r>
          </w:p>
        </w:tc>
      </w:tr>
    </w:tbl>
    <w:p w14:paraId="2FEAD505">
      <w:pPr>
        <w:spacing w:line="480" w:lineRule="exact"/>
        <w:ind w:firstLine="480" w:firstLineChars="200"/>
        <w:rPr>
          <w:rFonts w:hint="eastAsia" w:eastAsia="方正仿宋_GBK"/>
          <w:color w:val="000000" w:themeColor="text1"/>
          <w:sz w:val="24"/>
          <w:szCs w:val="24"/>
          <w:lang w:val="en-US"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注：1.</w:t>
      </w:r>
      <w:r>
        <w:rPr>
          <w:rFonts w:hint="eastAsia" w:eastAsia="方正仿宋_GBK"/>
          <w:color w:val="000000" w:themeColor="text1"/>
          <w:sz w:val="24"/>
          <w:szCs w:val="24"/>
          <w14:textFill>
            <w14:solidFill>
              <w14:schemeClr w14:val="tx1"/>
            </w14:solidFill>
          </w14:textFill>
        </w:rPr>
        <w:t>对照财库〔2019〕9 号、财库〔2019〕19 号文件规定，</w:t>
      </w:r>
      <w:r>
        <w:rPr>
          <w:rFonts w:hint="eastAsia" w:eastAsia="方正仿宋_GBK"/>
          <w:color w:val="000000" w:themeColor="text1"/>
          <w:sz w:val="24"/>
          <w:szCs w:val="24"/>
          <w:lang w:eastAsia="zh-CN"/>
          <w14:textFill>
            <w14:solidFill>
              <w14:schemeClr w14:val="tx1"/>
            </w14:solidFill>
          </w14:textFill>
        </w:rPr>
        <w:t>投标人</w:t>
      </w:r>
      <w:r>
        <w:rPr>
          <w:rFonts w:hint="eastAsia" w:eastAsia="方正仿宋_GBK"/>
          <w:color w:val="000000" w:themeColor="text1"/>
          <w:sz w:val="24"/>
          <w:szCs w:val="24"/>
          <w14:textFill>
            <w14:solidFill>
              <w14:schemeClr w14:val="tx1"/>
            </w14:solidFill>
          </w14:textFill>
        </w:rPr>
        <w:t>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r>
        <w:rPr>
          <w:rFonts w:hint="eastAsia" w:eastAsia="方正仿宋_GBK"/>
          <w:color w:val="000000" w:themeColor="text1"/>
          <w:sz w:val="24"/>
          <w:szCs w:val="24"/>
          <w:lang w:eastAsia="zh-CN"/>
          <w14:textFill>
            <w14:solidFill>
              <w14:schemeClr w14:val="tx1"/>
            </w14:solidFill>
          </w14:textFill>
        </w:rPr>
        <w:t>。</w:t>
      </w:r>
    </w:p>
    <w:p w14:paraId="60D54EF2">
      <w:pPr>
        <w:spacing w:line="480" w:lineRule="exact"/>
        <w:ind w:firstLine="480" w:firstLineChars="200"/>
        <w:rPr>
          <w:rFonts w:hint="eastAsia"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2.</w:t>
      </w:r>
      <w:r>
        <w:rPr>
          <w:rFonts w:hint="eastAsia" w:eastAsia="方正仿宋_GBK"/>
          <w:color w:val="000000" w:themeColor="text1"/>
          <w:sz w:val="24"/>
          <w:szCs w:val="24"/>
          <w14:textFill>
            <w14:solidFill>
              <w14:schemeClr w14:val="tx1"/>
            </w14:solidFill>
          </w14:textFill>
        </w:rPr>
        <w:t>设备安装点位图纸另附</w:t>
      </w:r>
    </w:p>
    <w:p w14:paraId="1BED5845">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五、项目实施方案</w:t>
      </w:r>
    </w:p>
    <w:p w14:paraId="3379DD3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投标人应在投标文件中提供完备的项目总体实施方案，包括项目实施计划方案、需求理解分析、对所示桥梁安全风险的技术评定、售后服务及培训方案、安全保障方案。</w:t>
      </w:r>
      <w:r>
        <w:rPr>
          <w:rFonts w:hint="eastAsia" w:eastAsia="方正仿宋_GBK"/>
          <w:color w:val="000000" w:themeColor="text1"/>
          <w:sz w:val="24"/>
          <w:szCs w:val="24"/>
          <w14:textFill>
            <w14:solidFill>
              <w14:schemeClr w14:val="tx1"/>
            </w14:solidFill>
          </w14:textFill>
        </w:rPr>
        <w:t>其中：</w:t>
      </w:r>
    </w:p>
    <w:p w14:paraId="0927268C">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（1）</w:t>
      </w:r>
      <w:r>
        <w:rPr>
          <w:rFonts w:eastAsia="方正仿宋_GBK"/>
          <w:color w:val="000000" w:themeColor="text1"/>
          <w:sz w:val="24"/>
          <w:szCs w:val="24"/>
          <w14:textFill>
            <w14:solidFill>
              <w14:schemeClr w14:val="tx1"/>
            </w14:solidFill>
          </w14:textFill>
        </w:rPr>
        <w:t>项目实施计划方案</w:t>
      </w:r>
      <w:r>
        <w:rPr>
          <w:rFonts w:hint="eastAsia" w:eastAsia="方正仿宋_GBK"/>
          <w:color w:val="000000" w:themeColor="text1"/>
          <w:sz w:val="24"/>
          <w:szCs w:val="24"/>
          <w14:textFill>
            <w14:solidFill>
              <w14:schemeClr w14:val="tx1"/>
            </w14:solidFill>
          </w14:textFill>
        </w:rPr>
        <w:t>：人员配备、岗位职责、设备安装调试、有明确的时间节点和进度安排，项目管理运行机制健全。</w:t>
      </w:r>
    </w:p>
    <w:p w14:paraId="10827F52">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（2）</w:t>
      </w:r>
      <w:r>
        <w:rPr>
          <w:rFonts w:eastAsia="方正仿宋_GBK"/>
          <w:color w:val="000000" w:themeColor="text1"/>
          <w:sz w:val="24"/>
          <w:szCs w:val="24"/>
          <w14:textFill>
            <w14:solidFill>
              <w14:schemeClr w14:val="tx1"/>
            </w14:solidFill>
          </w14:textFill>
        </w:rPr>
        <w:t>需求理解分析</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结合本地实际情况，对宿迁市城市生命线项目（桥梁试点场景）建设的项目概况、需求、现状及重难点问题进行分析</w:t>
      </w:r>
      <w:r>
        <w:rPr>
          <w:rFonts w:hint="eastAsia" w:eastAsia="方正仿宋_GBK"/>
          <w:color w:val="000000" w:themeColor="text1"/>
          <w:sz w:val="24"/>
          <w:szCs w:val="24"/>
          <w14:textFill>
            <w14:solidFill>
              <w14:schemeClr w14:val="tx1"/>
            </w14:solidFill>
          </w14:textFill>
        </w:rPr>
        <w:t>，要求</w:t>
      </w:r>
      <w:r>
        <w:rPr>
          <w:rFonts w:eastAsia="方正仿宋_GBK"/>
          <w:color w:val="000000" w:themeColor="text1"/>
          <w:sz w:val="24"/>
          <w:szCs w:val="24"/>
          <w14:textFill>
            <w14:solidFill>
              <w14:schemeClr w14:val="tx1"/>
            </w14:solidFill>
          </w14:textFill>
        </w:rPr>
        <w:t>结构清晰，描述准确、全面、完整，科学合理有针对性</w:t>
      </w:r>
      <w:r>
        <w:rPr>
          <w:rFonts w:hint="eastAsia" w:eastAsia="方正仿宋_GBK"/>
          <w:color w:val="000000" w:themeColor="text1"/>
          <w:sz w:val="24"/>
          <w:szCs w:val="24"/>
          <w14:textFill>
            <w14:solidFill>
              <w14:schemeClr w14:val="tx1"/>
            </w14:solidFill>
          </w14:textFill>
        </w:rPr>
        <w:t>。</w:t>
      </w:r>
    </w:p>
    <w:p w14:paraId="4355ADE1">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（3）</w:t>
      </w:r>
      <w:r>
        <w:rPr>
          <w:rFonts w:eastAsia="方正仿宋_GBK"/>
          <w:color w:val="000000" w:themeColor="text1"/>
          <w:sz w:val="24"/>
          <w:szCs w:val="24"/>
          <w14:textFill>
            <w14:solidFill>
              <w14:schemeClr w14:val="tx1"/>
            </w14:solidFill>
          </w14:textFill>
        </w:rPr>
        <w:t>对所示桥梁安全风险的技术评定</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结合本地实际情况，对桥梁病害体的认识充分，对提供的试点桥梁特征与安全风险进行分析</w:t>
      </w:r>
      <w:r>
        <w:rPr>
          <w:rFonts w:hint="eastAsia" w:eastAsia="方正仿宋_GBK"/>
          <w:color w:val="000000" w:themeColor="text1"/>
          <w:sz w:val="24"/>
          <w:szCs w:val="24"/>
          <w14:textFill>
            <w14:solidFill>
              <w14:schemeClr w14:val="tx1"/>
            </w14:solidFill>
          </w14:textFill>
        </w:rPr>
        <w:t>，要求</w:t>
      </w:r>
      <w:r>
        <w:rPr>
          <w:rFonts w:eastAsia="方正仿宋_GBK"/>
          <w:color w:val="000000" w:themeColor="text1"/>
          <w:sz w:val="24"/>
          <w:szCs w:val="24"/>
          <w14:textFill>
            <w14:solidFill>
              <w14:schemeClr w14:val="tx1"/>
            </w14:solidFill>
          </w14:textFill>
        </w:rPr>
        <w:t>要点分析清晰，描述准确、全面、完整，科学合理有针对性</w:t>
      </w:r>
      <w:r>
        <w:rPr>
          <w:rFonts w:hint="eastAsia" w:eastAsia="方正仿宋_GBK"/>
          <w:color w:val="000000" w:themeColor="text1"/>
          <w:sz w:val="24"/>
          <w:szCs w:val="24"/>
          <w14:textFill>
            <w14:solidFill>
              <w14:schemeClr w14:val="tx1"/>
            </w14:solidFill>
          </w14:textFill>
        </w:rPr>
        <w:t>。</w:t>
      </w:r>
    </w:p>
    <w:p w14:paraId="0B05E4B3">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（4）</w:t>
      </w:r>
      <w:r>
        <w:rPr>
          <w:rFonts w:eastAsia="方正仿宋_GBK"/>
          <w:color w:val="000000" w:themeColor="text1"/>
          <w:sz w:val="24"/>
          <w:szCs w:val="24"/>
          <w14:textFill>
            <w14:solidFill>
              <w14:schemeClr w14:val="tx1"/>
            </w14:solidFill>
          </w14:textFill>
        </w:rPr>
        <w:t>售后服务方案</w:t>
      </w:r>
      <w:r>
        <w:rPr>
          <w:rFonts w:hint="eastAsia" w:eastAsia="方正仿宋_GBK"/>
          <w:color w:val="000000" w:themeColor="text1"/>
          <w:sz w:val="24"/>
          <w:szCs w:val="24"/>
          <w14:textFill>
            <w14:solidFill>
              <w14:schemeClr w14:val="tx1"/>
            </w14:solidFill>
          </w14:textFill>
        </w:rPr>
        <w:t>：根据采购需求中售后服务要求，</w:t>
      </w:r>
      <w:r>
        <w:rPr>
          <w:rFonts w:hint="eastAsia" w:eastAsia="方正仿宋_GBK"/>
          <w:color w:val="000000" w:themeColor="text1"/>
          <w:sz w:val="24"/>
          <w:szCs w:val="24"/>
          <w:lang w:eastAsia="zh-CN"/>
          <w14:textFill>
            <w14:solidFill>
              <w14:schemeClr w14:val="tx1"/>
            </w14:solidFill>
          </w14:textFill>
        </w:rPr>
        <w:t>编制</w:t>
      </w:r>
      <w:r>
        <w:rPr>
          <w:rFonts w:eastAsia="方正仿宋_GBK"/>
          <w:color w:val="000000" w:themeColor="text1"/>
          <w:sz w:val="24"/>
          <w:szCs w:val="24"/>
          <w14:textFill>
            <w14:solidFill>
              <w14:schemeClr w14:val="tx1"/>
            </w14:solidFill>
          </w14:textFill>
        </w:rPr>
        <w:t>售后服务方案</w:t>
      </w:r>
      <w:r>
        <w:rPr>
          <w:rFonts w:hint="eastAsia" w:eastAsia="方正仿宋_GBK"/>
          <w:color w:val="000000" w:themeColor="text1"/>
          <w:sz w:val="24"/>
          <w:szCs w:val="24"/>
          <w14:textFill>
            <w14:solidFill>
              <w14:schemeClr w14:val="tx1"/>
            </w14:solidFill>
          </w14:textFill>
        </w:rPr>
        <w:t>。</w:t>
      </w:r>
    </w:p>
    <w:p w14:paraId="6AF58041">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14:textFill>
            <w14:solidFill>
              <w14:schemeClr w14:val="tx1"/>
            </w14:solidFill>
          </w14:textFill>
        </w:rPr>
        <w:t>（5）</w:t>
      </w:r>
      <w:r>
        <w:rPr>
          <w:rFonts w:eastAsia="方正仿宋_GBK"/>
          <w:color w:val="000000" w:themeColor="text1"/>
          <w:sz w:val="24"/>
          <w:szCs w:val="24"/>
          <w14:textFill>
            <w14:solidFill>
              <w14:schemeClr w14:val="tx1"/>
            </w14:solidFill>
          </w14:textFill>
        </w:rPr>
        <w:t>安全保障方案</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对重点位置，安全隐患，提出安全保障方案及应急方</w:t>
      </w:r>
      <w:r>
        <w:rPr>
          <w:rFonts w:hint="eastAsia" w:eastAsia="方正仿宋_GBK"/>
          <w:color w:val="000000" w:themeColor="text1"/>
          <w:sz w:val="24"/>
          <w:szCs w:val="24"/>
          <w14:textFill>
            <w14:solidFill>
              <w14:schemeClr w14:val="tx1"/>
            </w14:solidFill>
          </w14:textFill>
        </w:rPr>
        <w:t>案，方案编制应详细、完整。</w:t>
      </w:r>
    </w:p>
    <w:p w14:paraId="57E09F98">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六、质量要求</w:t>
      </w:r>
    </w:p>
    <w:p w14:paraId="6CBDAEC5">
      <w:pPr>
        <w:spacing w:line="480" w:lineRule="exact"/>
        <w:ind w:firstLine="480" w:firstLineChars="200"/>
        <w:rPr>
          <w:rFonts w:eastAsia="方正仿宋_GBK"/>
          <w:color w:val="000000" w:themeColor="text1"/>
          <w:sz w:val="24"/>
          <w:szCs w:val="24"/>
          <w14:textFill>
            <w14:solidFill>
              <w14:schemeClr w14:val="tx1"/>
            </w14:solidFill>
          </w14:textFill>
        </w:rPr>
      </w:pPr>
      <w:bookmarkStart w:id="220" w:name="_Hlk134538237"/>
      <w:r>
        <w:rPr>
          <w:rFonts w:eastAsia="方正仿宋_GBK"/>
          <w:color w:val="000000" w:themeColor="text1"/>
          <w:sz w:val="24"/>
          <w:szCs w:val="24"/>
          <w14:textFill>
            <w14:solidFill>
              <w14:schemeClr w14:val="tx1"/>
            </w14:solidFill>
          </w14:textFill>
        </w:rPr>
        <w:t>1.质量标准：符合相关规范及建设要求。</w:t>
      </w:r>
      <w:bookmarkEnd w:id="220"/>
    </w:p>
    <w:p w14:paraId="3F5FE678">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2.</w:t>
      </w:r>
      <w:r>
        <w:rPr>
          <w:rFonts w:eastAsia="方正仿宋_GBK"/>
          <w:color w:val="000000" w:themeColor="text1"/>
          <w:sz w:val="24"/>
          <w:szCs w:val="24"/>
          <w14:textFill>
            <w14:solidFill>
              <w14:schemeClr w14:val="tx1"/>
            </w14:solidFill>
          </w14:textFill>
        </w:rPr>
        <w:t>投标人必须提供符合国家质量检测标准的全新、未使用过的货物</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包括所有设备的元器件、零配件、专用工具等</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表面无划伤，无碰撞，无任何缺陷隐患，在中国境内可依常规安全合法使用，并附有原始厂商的装箱单、完整的技术资料及相应的中文说明等相关资料，必须提供设备的供货配置清单。若中标货物质量不符合招标文件要求，采购人有权拒收货物。投标人在交货时必需提供主要产品生产厂家供货证明书。投标人</w:t>
      </w:r>
      <w:r>
        <w:rPr>
          <w:rFonts w:hint="eastAsia" w:eastAsia="方正仿宋_GBK"/>
          <w:color w:val="000000" w:themeColor="text1"/>
          <w:sz w:val="24"/>
          <w:szCs w:val="24"/>
          <w:lang w:eastAsia="zh-CN"/>
          <w14:textFill>
            <w14:solidFill>
              <w14:schemeClr w14:val="tx1"/>
            </w14:solidFill>
          </w14:textFill>
        </w:rPr>
        <w:t>所供</w:t>
      </w:r>
      <w:r>
        <w:rPr>
          <w:rFonts w:eastAsia="方正仿宋_GBK"/>
          <w:color w:val="000000" w:themeColor="text1"/>
          <w:sz w:val="24"/>
          <w:szCs w:val="24"/>
          <w14:textFill>
            <w14:solidFill>
              <w14:schemeClr w14:val="tx1"/>
            </w14:solidFill>
          </w14:textFill>
        </w:rPr>
        <w:t>货物若与标书上列明的设备的型号、技术指标等不相符，有造假现象的，采购人有权拒收货物，投标人应承担由此给采购人带来的损失。</w:t>
      </w:r>
    </w:p>
    <w:p w14:paraId="75CD0E37">
      <w:pPr>
        <w:spacing w:line="480" w:lineRule="exact"/>
        <w:ind w:firstLine="480" w:firstLineChars="200"/>
        <w:rPr>
          <w:rFonts w:hint="eastAsia" w:eastAsia="方正仿宋_GBK"/>
          <w:b/>
          <w:bCs/>
          <w:color w:val="000000" w:themeColor="text1"/>
          <w:sz w:val="24"/>
          <w:szCs w:val="24"/>
          <w:lang w:eastAsia="zh-CN"/>
          <w14:textFill>
            <w14:solidFill>
              <w14:schemeClr w14:val="tx1"/>
            </w14:solidFill>
          </w14:textFill>
        </w:rPr>
      </w:pPr>
      <w:r>
        <w:rPr>
          <w:rFonts w:hint="eastAsia" w:eastAsia="方正仿宋_GBK"/>
          <w:b/>
          <w:bCs/>
          <w:color w:val="000000" w:themeColor="text1"/>
          <w:sz w:val="24"/>
          <w:szCs w:val="24"/>
          <w:lang w:eastAsia="zh-CN"/>
          <w14:textFill>
            <w14:solidFill>
              <w14:schemeClr w14:val="tx1"/>
            </w14:solidFill>
          </w14:textFill>
        </w:rPr>
        <w:t>七、</w:t>
      </w:r>
      <w:r>
        <w:rPr>
          <w:rFonts w:hint="eastAsia" w:eastAsia="方正仿宋_GBK"/>
          <w:b/>
          <w:bCs/>
          <w:color w:val="000000" w:themeColor="text1"/>
          <w:sz w:val="24"/>
          <w:szCs w:val="24"/>
          <w14:textFill>
            <w14:solidFill>
              <w14:schemeClr w14:val="tx1"/>
            </w14:solidFill>
          </w14:textFill>
        </w:rPr>
        <w:t>项目管理力量、安装调试技术人员配备</w:t>
      </w:r>
      <w:r>
        <w:rPr>
          <w:rFonts w:hint="eastAsia" w:eastAsia="方正仿宋_GBK"/>
          <w:b/>
          <w:bCs/>
          <w:color w:val="000000" w:themeColor="text1"/>
          <w:sz w:val="24"/>
          <w:szCs w:val="24"/>
          <w:lang w:eastAsia="zh-CN"/>
          <w14:textFill>
            <w14:solidFill>
              <w14:schemeClr w14:val="tx1"/>
            </w14:solidFill>
          </w14:textFill>
        </w:rPr>
        <w:t>要求</w:t>
      </w:r>
    </w:p>
    <w:p w14:paraId="683065FC">
      <w:pPr>
        <w:spacing w:line="480" w:lineRule="exact"/>
        <w:ind w:firstLine="480" w:firstLineChars="200"/>
        <w:rPr>
          <w:rFonts w:hint="eastAsia" w:eastAsia="方正仿宋_GBK"/>
          <w:color w:val="000000" w:themeColor="text1"/>
          <w:sz w:val="24"/>
          <w:szCs w:val="24"/>
          <w:lang w:eastAsia="zh-CN"/>
          <w14:textFill>
            <w14:solidFill>
              <w14:schemeClr w14:val="tx1"/>
            </w14:solidFill>
          </w14:textFill>
        </w:rPr>
      </w:pPr>
      <w:r>
        <w:rPr>
          <w:rFonts w:hint="eastAsia" w:eastAsia="方正仿宋_GBK"/>
          <w:color w:val="000000" w:themeColor="text1"/>
          <w:sz w:val="24"/>
          <w:szCs w:val="24"/>
          <w:lang w:eastAsia="zh-CN"/>
          <w14:textFill>
            <w14:solidFill>
              <w14:schemeClr w14:val="tx1"/>
            </w14:solidFill>
          </w14:textFill>
        </w:rPr>
        <w:t>投标人应组建专业服务团队负责本项目实施工作。项目团队应结合招标需求，因地制宜的制定项目实施计划，保证计划的科学性和可落地的要求，按计划推进设备安装、调试及将数据接入指定监测平台等工作。项目负责人负责项目的整体规划、进度和质量控制，协调各个部门和团队成员之间的工作，确保项目顺利进行，沟通项目进展情况，及时向采购人汇报。其他团队人员须了解用户具体需求，能够准确查找问题，熟练处理采购人提出的日常问题。</w:t>
      </w:r>
    </w:p>
    <w:p w14:paraId="3915B7DC">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八</w:t>
      </w:r>
      <w:r>
        <w:rPr>
          <w:rFonts w:ascii="方正黑体_GBK" w:hAnsi="方正黑体_GBK" w:eastAsia="方正黑体_GBK" w:cs="方正黑体_GBK"/>
          <w:b/>
          <w:bCs/>
          <w:color w:val="000000" w:themeColor="text1"/>
          <w:sz w:val="24"/>
          <w:szCs w:val="24"/>
          <w14:textFill>
            <w14:solidFill>
              <w14:schemeClr w14:val="tx1"/>
            </w14:solidFill>
          </w14:textFill>
        </w:rPr>
        <w:t>、安全要求</w:t>
      </w:r>
    </w:p>
    <w:p w14:paraId="7E25509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对所供货物负责，其质量应严格执行国家级行业现行产品合格标准，因项目实施过程中产生的安全事故、人员伤亡、财产损失及因设备运行过程中出现的各类事故及危险事件，投标人负全部责任，并足额承担因此产生相应赔偿、损失及所有费用。</w:t>
      </w:r>
    </w:p>
    <w:p w14:paraId="61215EE5">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九</w:t>
      </w:r>
      <w:r>
        <w:rPr>
          <w:rFonts w:ascii="方正黑体_GBK" w:hAnsi="方正黑体_GBK" w:eastAsia="方正黑体_GBK" w:cs="方正黑体_GBK"/>
          <w:b/>
          <w:bCs/>
          <w:color w:val="000000" w:themeColor="text1"/>
          <w:sz w:val="24"/>
          <w:szCs w:val="24"/>
          <w14:textFill>
            <w14:solidFill>
              <w14:schemeClr w14:val="tx1"/>
            </w14:solidFill>
          </w14:textFill>
        </w:rPr>
        <w:t>、验收标准及要求</w:t>
      </w:r>
    </w:p>
    <w:p w14:paraId="525CCBF6">
      <w:pPr>
        <w:spacing w:line="48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51DE2AB5">
      <w:pPr>
        <w:spacing w:line="48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2.采购人对中标人提供的货物在使用前，中标人需负责培训采购人的使用操作人员，直到符合技术要求；</w:t>
      </w:r>
    </w:p>
    <w:p w14:paraId="2AE136D0">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验收前中标人必须确保项目设备、材料、功能完全满足国家行业有关质量标准，应保证所提供设备涉及到的知识产权和所提供的软件、技术资料是合法取得，并享有完整的知识产权，不会因为采购人的使用而被责令停止使用、追偿或要求赔偿损失，如出现此情况，一切经济和法律责任均由中标人承担。</w:t>
      </w:r>
    </w:p>
    <w:p w14:paraId="2C1298B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4、验收</w:t>
      </w:r>
    </w:p>
    <w:p w14:paraId="2375098C">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4.1初验</w:t>
      </w:r>
    </w:p>
    <w:p w14:paraId="35E4985C">
      <w:pPr>
        <w:spacing w:line="480" w:lineRule="exact"/>
        <w:ind w:firstLine="480" w:firstLineChars="200"/>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eastAsia="zh-CN"/>
          <w14:textFill>
            <w14:solidFill>
              <w14:schemeClr w14:val="tx1"/>
            </w14:solidFill>
          </w14:textFill>
        </w:rPr>
        <w:t>投标人</w:t>
      </w:r>
      <w:r>
        <w:rPr>
          <w:rFonts w:eastAsia="方正仿宋_GBK"/>
          <w:color w:val="000000" w:themeColor="text1"/>
          <w:sz w:val="24"/>
          <w:szCs w:val="24"/>
          <w14:textFill>
            <w14:solidFill>
              <w14:schemeClr w14:val="tx1"/>
            </w14:solidFill>
          </w14:textFill>
        </w:rPr>
        <w:t>按约定将货物送至采购人指定地点并安装调试完毕，乙方向甲方提交项目初验技术资料以及初验申请单，甲方收到申请后3个工作日内组织初验并按照合同约定以及投标文件中的产品技术标准进行验收无问题后签署初验单。</w:t>
      </w:r>
    </w:p>
    <w:p w14:paraId="48D011CA">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2.终验</w:t>
      </w:r>
    </w:p>
    <w:p w14:paraId="0011E1A6">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初验合格后进入售后服务期，售后服务期满乙方向甲方提交项目验收技术资料以及终验申请单，甲方收到申请后3个工作日组织终验且验收无问题后签署终验单。</w:t>
      </w:r>
    </w:p>
    <w:p w14:paraId="4A55A2E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验收的标准按照采购文件、响应文件及相关标准实施，须服从采购人安排要求。</w:t>
      </w:r>
    </w:p>
    <w:p w14:paraId="01694186">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十</w:t>
      </w:r>
      <w:r>
        <w:rPr>
          <w:rFonts w:ascii="方正黑体_GBK" w:hAnsi="方正黑体_GBK" w:eastAsia="方正黑体_GBK" w:cs="方正黑体_GBK"/>
          <w:b/>
          <w:bCs/>
          <w:color w:val="000000" w:themeColor="text1"/>
          <w:sz w:val="24"/>
          <w:szCs w:val="24"/>
          <w14:textFill>
            <w14:solidFill>
              <w14:schemeClr w14:val="tx1"/>
            </w14:solidFill>
          </w14:textFill>
        </w:rPr>
        <w:t>、售后服务</w:t>
      </w:r>
    </w:p>
    <w:p w14:paraId="153466D5">
      <w:pPr>
        <w:spacing w:line="50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eastAsia="方正仿宋_GBK" w:cs="Times New Roman"/>
          <w:color w:val="000000" w:themeColor="text1"/>
          <w:sz w:val="24"/>
          <w:szCs w:val="24"/>
          <w:lang w:eastAsia="zh-CN"/>
          <w14:textFill>
            <w14:solidFill>
              <w14:schemeClr w14:val="tx1"/>
            </w14:solidFill>
          </w14:textFill>
        </w:rPr>
        <w:t>本项目售后服务期为</w:t>
      </w:r>
      <w:r>
        <w:rPr>
          <w:rFonts w:hint="eastAsia" w:eastAsia="方正仿宋_GBK" w:cs="Times New Roman"/>
          <w:color w:val="000000" w:themeColor="text1"/>
          <w:sz w:val="24"/>
          <w:szCs w:val="24"/>
          <w:lang w:val="en-US" w:eastAsia="zh-CN"/>
          <w14:textFill>
            <w14:solidFill>
              <w14:schemeClr w14:val="tx1"/>
            </w14:solidFill>
          </w14:textFill>
        </w:rPr>
        <w:t>36个月</w:t>
      </w:r>
      <w:r>
        <w:rPr>
          <w:rFonts w:hint="eastAsia" w:ascii="Times New Roman" w:hAnsi="Times New Roman" w:eastAsia="方正仿宋_GBK" w:cs="Times New Roman"/>
          <w:color w:val="000000" w:themeColor="text1"/>
          <w:sz w:val="24"/>
          <w:szCs w:val="24"/>
          <w14:textFill>
            <w14:solidFill>
              <w14:schemeClr w14:val="tx1"/>
            </w14:solidFill>
          </w14:textFill>
        </w:rPr>
        <w:t>（自初验</w:t>
      </w:r>
      <w:r>
        <w:rPr>
          <w:rFonts w:hint="eastAsia" w:eastAsia="方正仿宋_GBK" w:cs="Times New Roman"/>
          <w:color w:val="000000" w:themeColor="text1"/>
          <w:sz w:val="24"/>
          <w:szCs w:val="24"/>
          <w:lang w:eastAsia="zh-CN"/>
          <w14:textFill>
            <w14:solidFill>
              <w14:schemeClr w14:val="tx1"/>
            </w14:solidFill>
          </w14:textFill>
        </w:rPr>
        <w:t>验收合格</w:t>
      </w:r>
      <w:r>
        <w:rPr>
          <w:rFonts w:hint="eastAsia" w:ascii="Times New Roman" w:hAnsi="Times New Roman" w:eastAsia="方正仿宋_GBK" w:cs="Times New Roman"/>
          <w:color w:val="000000" w:themeColor="text1"/>
          <w:sz w:val="24"/>
          <w:szCs w:val="24"/>
          <w14:textFill>
            <w14:solidFill>
              <w14:schemeClr w14:val="tx1"/>
            </w14:solidFill>
          </w14:textFill>
        </w:rPr>
        <w:t>之日起计算）</w:t>
      </w:r>
      <w:r>
        <w:rPr>
          <w:rFonts w:ascii="Times New Roman" w:hAnsi="Times New Roman" w:eastAsia="方正仿宋_GBK" w:cs="Times New Roman"/>
          <w:color w:val="000000" w:themeColor="text1"/>
          <w:sz w:val="24"/>
          <w:szCs w:val="24"/>
          <w14:textFill>
            <w14:solidFill>
              <w14:schemeClr w14:val="tx1"/>
            </w14:solidFill>
          </w14:textFill>
        </w:rPr>
        <w:t>，</w:t>
      </w:r>
      <w:r>
        <w:rPr>
          <w:rFonts w:hint="eastAsia" w:eastAsia="方正仿宋_GBK" w:cs="Times New Roman"/>
          <w:color w:val="000000" w:themeColor="text1"/>
          <w:sz w:val="24"/>
          <w:szCs w:val="24"/>
          <w:lang w:eastAsia="zh-CN"/>
          <w14:textFill>
            <w14:solidFill>
              <w14:schemeClr w14:val="tx1"/>
            </w14:solidFill>
          </w14:textFill>
        </w:rPr>
        <w:t>售后服务期内</w:t>
      </w:r>
      <w:r>
        <w:rPr>
          <w:rFonts w:ascii="Times New Roman" w:hAnsi="Times New Roman" w:eastAsia="方正仿宋_GBK" w:cs="Times New Roman"/>
          <w:color w:val="000000" w:themeColor="text1"/>
          <w:sz w:val="24"/>
          <w:szCs w:val="24"/>
          <w14:textFill>
            <w14:solidFill>
              <w14:schemeClr w14:val="tx1"/>
            </w14:solidFill>
          </w14:textFill>
        </w:rPr>
        <w:t>所有设施设备的更换、维修均为免费（包括非故意人为损坏），监测设备电费、</w:t>
      </w:r>
      <w:r>
        <w:rPr>
          <w:rFonts w:hint="eastAsia" w:ascii="Times New Roman" w:hAnsi="Times New Roman" w:eastAsia="方正仿宋_GBK" w:cs="Times New Roman"/>
          <w:color w:val="000000" w:themeColor="text1"/>
          <w:sz w:val="24"/>
          <w:szCs w:val="24"/>
          <w14:textFill>
            <w14:solidFill>
              <w14:schemeClr w14:val="tx1"/>
            </w14:solidFill>
          </w14:textFill>
        </w:rPr>
        <w:t>网络</w:t>
      </w:r>
      <w:r>
        <w:rPr>
          <w:rFonts w:ascii="Times New Roman" w:hAnsi="Times New Roman" w:eastAsia="方正仿宋_GBK" w:cs="Times New Roman"/>
          <w:color w:val="000000" w:themeColor="text1"/>
          <w:sz w:val="24"/>
          <w:szCs w:val="24"/>
          <w14:textFill>
            <w14:solidFill>
              <w14:schemeClr w14:val="tx1"/>
            </w14:solidFill>
          </w14:textFill>
        </w:rPr>
        <w:t>使用费用以及相关配件的维修、保养费用由</w:t>
      </w:r>
      <w:r>
        <w:rPr>
          <w:rFonts w:hint="eastAsia" w:eastAsia="方正仿宋_GBK" w:cs="Times New Roman"/>
          <w:color w:val="000000" w:themeColor="text1"/>
          <w:sz w:val="24"/>
          <w:szCs w:val="24"/>
          <w:lang w:eastAsia="zh-CN"/>
          <w14:textFill>
            <w14:solidFill>
              <w14:schemeClr w14:val="tx1"/>
            </w14:solidFill>
          </w14:textFill>
        </w:rPr>
        <w:t>中标人</w:t>
      </w:r>
      <w:r>
        <w:rPr>
          <w:rFonts w:ascii="Times New Roman" w:hAnsi="Times New Roman" w:eastAsia="方正仿宋_GBK" w:cs="Times New Roman"/>
          <w:color w:val="000000" w:themeColor="text1"/>
          <w:sz w:val="24"/>
          <w:szCs w:val="24"/>
          <w14:textFill>
            <w14:solidFill>
              <w14:schemeClr w14:val="tx1"/>
            </w14:solidFill>
          </w14:textFill>
        </w:rPr>
        <w:t>免费提供，所有服务产生的费用均不再收取；服务期满后，</w:t>
      </w:r>
      <w:r>
        <w:rPr>
          <w:rFonts w:hint="eastAsia" w:eastAsia="方正仿宋_GBK" w:cs="Times New Roman"/>
          <w:color w:val="000000" w:themeColor="text1"/>
          <w:sz w:val="24"/>
          <w:szCs w:val="24"/>
          <w:lang w:eastAsia="zh-CN"/>
          <w14:textFill>
            <w14:solidFill>
              <w14:schemeClr w14:val="tx1"/>
            </w14:solidFill>
          </w14:textFill>
        </w:rPr>
        <w:t>中标人</w:t>
      </w:r>
      <w:r>
        <w:rPr>
          <w:rFonts w:ascii="Times New Roman" w:hAnsi="Times New Roman" w:eastAsia="方正仿宋_GBK" w:cs="Times New Roman"/>
          <w:color w:val="000000" w:themeColor="text1"/>
          <w:sz w:val="24"/>
          <w:szCs w:val="24"/>
          <w14:textFill>
            <w14:solidFill>
              <w14:schemeClr w14:val="tx1"/>
            </w14:solidFill>
          </w14:textFill>
        </w:rPr>
        <w:t>提供终生服务，保证零配件的供给，按投标文件承诺的折扣予以保障。</w:t>
      </w:r>
    </w:p>
    <w:p w14:paraId="24FE0FF5">
      <w:pPr>
        <w:spacing w:line="50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2.售后服务保障不力的，采购人有权终止合同，停止支付项目相关费用。</w:t>
      </w:r>
    </w:p>
    <w:p w14:paraId="6CB5ECE9">
      <w:pPr>
        <w:spacing w:line="50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3.需求调整和完善。售后服务期内</w:t>
      </w:r>
      <w:r>
        <w:rPr>
          <w:rFonts w:hint="eastAsia" w:eastAsia="方正仿宋_GBK" w:cs="Times New Roman"/>
          <w:color w:val="000000" w:themeColor="text1"/>
          <w:sz w:val="24"/>
          <w:szCs w:val="24"/>
          <w:lang w:eastAsia="zh-CN"/>
          <w14:textFill>
            <w14:solidFill>
              <w14:schemeClr w14:val="tx1"/>
            </w14:solidFill>
          </w14:textFill>
        </w:rPr>
        <w:t>中标人</w:t>
      </w:r>
      <w:r>
        <w:rPr>
          <w:rFonts w:ascii="Times New Roman" w:hAnsi="Times New Roman" w:eastAsia="方正仿宋_GBK" w:cs="Times New Roman"/>
          <w:color w:val="000000" w:themeColor="text1"/>
          <w:sz w:val="24"/>
          <w:szCs w:val="24"/>
          <w14:textFill>
            <w14:solidFill>
              <w14:schemeClr w14:val="tx1"/>
            </w14:solidFill>
          </w14:textFill>
        </w:rPr>
        <w:t>应对采购人提出具体需求进行调整和完善。提供定期现场巡检和回访。</w:t>
      </w:r>
    </w:p>
    <w:p w14:paraId="018C6FAF">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4.故障及时响应。成立专门的本地维护服务和技术支持小组，设备运行异常时，在接到采购人通知后，须全力协助采购人，使系统尽快恢复正常。具体为：</w:t>
      </w:r>
      <w:r>
        <w:rPr>
          <w:rFonts w:hint="eastAsia" w:eastAsia="方正仿宋_GBK" w:cs="Times New Roman"/>
          <w:color w:val="000000" w:themeColor="text1"/>
          <w:sz w:val="24"/>
          <w:szCs w:val="24"/>
          <w:lang w:eastAsia="zh-CN"/>
          <w14:textFill>
            <w14:solidFill>
              <w14:schemeClr w14:val="tx1"/>
            </w14:solidFill>
          </w14:textFill>
        </w:rPr>
        <w:t>中标人</w:t>
      </w:r>
      <w:r>
        <w:rPr>
          <w:rFonts w:eastAsia="方正仿宋_GBK"/>
          <w:color w:val="000000" w:themeColor="text1"/>
          <w:sz w:val="24"/>
          <w:szCs w:val="24"/>
          <w14:textFill>
            <w14:solidFill>
              <w14:schemeClr w14:val="tx1"/>
            </w14:solidFill>
          </w14:textFill>
        </w:rPr>
        <w:t>必须提供7×24小时的响应服务，保证技术人员及时到场，及时解决故障或启用应急措施保证设备正常运行。</w:t>
      </w:r>
    </w:p>
    <w:p w14:paraId="74BD04FE">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十</w:t>
      </w: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一</w:t>
      </w:r>
      <w:r>
        <w:rPr>
          <w:rFonts w:ascii="方正黑体_GBK" w:hAnsi="方正黑体_GBK" w:eastAsia="方正黑体_GBK" w:cs="方正黑体_GBK"/>
          <w:b/>
          <w:bCs/>
          <w:color w:val="000000" w:themeColor="text1"/>
          <w:sz w:val="24"/>
          <w:szCs w:val="24"/>
          <w14:textFill>
            <w14:solidFill>
              <w14:schemeClr w14:val="tx1"/>
            </w14:solidFill>
          </w14:textFill>
        </w:rPr>
        <w:t>、其他</w:t>
      </w:r>
    </w:p>
    <w:p w14:paraId="41127DCE">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（1）本项目不接受备选的方案或有选择的报价，只允许有一个报价。报价内容</w:t>
      </w:r>
      <w:r>
        <w:rPr>
          <w:rFonts w:ascii="Times New Roman" w:hAnsi="Times New Roman" w:eastAsia="方正仿宋_GBK" w:cs="Times New Roman"/>
          <w:color w:val="000000" w:themeColor="text1"/>
          <w:sz w:val="24"/>
          <w:szCs w:val="24"/>
          <w14:textFill>
            <w14:solidFill>
              <w14:schemeClr w14:val="tx1"/>
            </w14:solidFill>
          </w14:textFill>
        </w:rPr>
        <w:t>包括：设备</w:t>
      </w:r>
      <w:r>
        <w:rPr>
          <w:rFonts w:hint="eastAsia" w:ascii="Times New Roman" w:hAnsi="Times New Roman" w:eastAsia="方正仿宋_GBK" w:cs="Times New Roman"/>
          <w:color w:val="000000" w:themeColor="text1"/>
          <w:sz w:val="24"/>
          <w:szCs w:val="24"/>
          <w14:textFill>
            <w14:solidFill>
              <w14:schemeClr w14:val="tx1"/>
            </w14:solidFill>
          </w14:textFill>
        </w:rPr>
        <w:t>采购安装、调试</w:t>
      </w:r>
      <w:r>
        <w:rPr>
          <w:rFonts w:ascii="Times New Roman" w:hAnsi="Times New Roman" w:eastAsia="方正仿宋_GBK" w:cs="Times New Roman"/>
          <w:color w:val="000000" w:themeColor="text1"/>
          <w:sz w:val="24"/>
          <w:szCs w:val="24"/>
          <w14:textFill>
            <w14:solidFill>
              <w14:schemeClr w14:val="tx1"/>
            </w14:solidFill>
          </w14:textFill>
        </w:rPr>
        <w:t>及相关配套费、数据对接费、</w:t>
      </w:r>
      <w:r>
        <w:rPr>
          <w:rFonts w:hint="eastAsia" w:ascii="Times New Roman" w:hAnsi="Times New Roman" w:eastAsia="方正仿宋_GBK" w:cs="Times New Roman"/>
          <w:color w:val="000000" w:themeColor="text1"/>
          <w:sz w:val="24"/>
          <w:szCs w:val="24"/>
          <w14:textFill>
            <w14:solidFill>
              <w14:schemeClr w14:val="tx1"/>
            </w14:solidFill>
          </w14:textFill>
        </w:rPr>
        <w:t>电费、入网费、</w:t>
      </w:r>
      <w:r>
        <w:rPr>
          <w:rFonts w:ascii="Times New Roman" w:hAnsi="Times New Roman" w:eastAsia="方正仿宋_GBK" w:cs="Times New Roman"/>
          <w:color w:val="000000" w:themeColor="text1"/>
          <w:sz w:val="24"/>
          <w:szCs w:val="24"/>
          <w14:textFill>
            <w14:solidFill>
              <w14:schemeClr w14:val="tx1"/>
            </w14:solidFill>
          </w14:textFill>
        </w:rPr>
        <w:t>人工费、服务费、税金、满足实现采购需求功能和效果以及履约过程中涉及到的其他一切费用。投标人充分考虑所有可能影响到报价的因素。如发生漏、缺、少项，损失自负，含招标文件规定的所有一切责任、义务和可能风险的全部费用。</w:t>
      </w:r>
    </w:p>
    <w:p w14:paraId="134DC584">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（2）若本项目设备在质保期内损坏，在返修期间，中标人应针对此项目提供备用设备（备用设备性能参数不影响整体性能和安全性）。</w:t>
      </w:r>
    </w:p>
    <w:p w14:paraId="31523BBF">
      <w:pPr>
        <w:spacing w:line="50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（3）中标人所提供产品为原厂全新正品，品牌、型号、参数与投标文件所投产品一致，否则采购人有权退货。</w:t>
      </w:r>
    </w:p>
    <w:p w14:paraId="53497CC2">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十</w:t>
      </w: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二</w:t>
      </w:r>
      <w:r>
        <w:rPr>
          <w:rFonts w:ascii="方正黑体_GBK" w:hAnsi="方正黑体_GBK" w:eastAsia="方正黑体_GBK" w:cs="方正黑体_GBK"/>
          <w:b/>
          <w:bCs/>
          <w:color w:val="000000" w:themeColor="text1"/>
          <w:sz w:val="24"/>
          <w:szCs w:val="24"/>
          <w14:textFill>
            <w14:solidFill>
              <w14:schemeClr w14:val="tx1"/>
            </w14:solidFill>
          </w14:textFill>
        </w:rPr>
        <w:t>、商品包装环保要求</w:t>
      </w:r>
    </w:p>
    <w:p w14:paraId="78CD9E7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1、商品包装层数不得超过 3 层，空隙率不大于 40%； </w:t>
      </w:r>
    </w:p>
    <w:p w14:paraId="56B88C9D">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2、商品包装尽可能使用单一材质的包装材料，如因功能 需求必需使用不同材质，不同材质间应便于分离； </w:t>
      </w:r>
    </w:p>
    <w:p w14:paraId="36C3F18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3、商品包装中铅、汞、镉、六价铬的总含量应不大于 100mg/kg； </w:t>
      </w:r>
    </w:p>
    <w:p w14:paraId="5E0761FE">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4、商品包装印刷使用的油墨中挥发性有机化合物</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VOCs</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 xml:space="preserve"> 含量应不大于 5%（以重量计）； </w:t>
      </w:r>
    </w:p>
    <w:p w14:paraId="3F4262F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5、塑料材质商品包装上呈现的印刷颜色不得超过 6 色； </w:t>
      </w:r>
    </w:p>
    <w:p w14:paraId="3F5FFB28">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6、纸质商品包装应使用 75%以上的可再生纤维原料生产； </w:t>
      </w:r>
    </w:p>
    <w:p w14:paraId="74C317E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7、木质商品包装的原料应来源于可持续性森林。 </w:t>
      </w:r>
    </w:p>
    <w:p w14:paraId="34527EF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注：检测方法 1.商品包装中重金属（铅、汞、镉、六价铬）总量的检 测按照 GB/T 10004-2008《包装用塑料复合膜、袋干法复合、 挤出复合》规定的方法进行。 2.商品包装印刷使用的油墨中挥发性有机化合物</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VOCs</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 xml:space="preserve"> 的检测按照 GB/T 23986-2009《色漆和清漆 挥发性有机化合 物</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VOC</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含量的测定 气相色谱法》规定的方法。</w:t>
      </w:r>
    </w:p>
    <w:p w14:paraId="5A1FDE89">
      <w:pPr>
        <w:pStyle w:val="189"/>
        <w:keepNext w:val="0"/>
        <w:keepLines w:val="0"/>
        <w:spacing w:before="0" w:after="0" w:line="480" w:lineRule="exact"/>
        <w:ind w:firstLine="480" w:firstLineChars="200"/>
        <w:rPr>
          <w:rFonts w:ascii="方正黑体_GBK" w:hAnsi="方正黑体_GBK" w:eastAsia="方正黑体_GBK" w:cs="方正黑体_GBK"/>
          <w:b/>
          <w:bCs/>
          <w:color w:val="000000" w:themeColor="text1"/>
          <w:sz w:val="24"/>
          <w:szCs w:val="24"/>
          <w14:textFill>
            <w14:solidFill>
              <w14:schemeClr w14:val="tx1"/>
            </w14:solidFill>
          </w14:textFill>
        </w:rPr>
      </w:pPr>
      <w:r>
        <w:rPr>
          <w:rFonts w:ascii="方正黑体_GBK" w:hAnsi="方正黑体_GBK" w:eastAsia="方正黑体_GBK" w:cs="方正黑体_GBK"/>
          <w:b/>
          <w:bCs/>
          <w:color w:val="000000" w:themeColor="text1"/>
          <w:sz w:val="24"/>
          <w:szCs w:val="24"/>
          <w14:textFill>
            <w14:solidFill>
              <w14:schemeClr w14:val="tx1"/>
            </w14:solidFill>
          </w14:textFill>
        </w:rPr>
        <w:t>十</w:t>
      </w:r>
      <w:r>
        <w:rPr>
          <w:rFonts w:hint="eastAsia" w:ascii="方正黑体_GBK" w:hAnsi="方正黑体_GBK" w:eastAsia="方正黑体_GBK" w:cs="方正黑体_GBK"/>
          <w:b/>
          <w:bCs/>
          <w:color w:val="000000" w:themeColor="text1"/>
          <w:sz w:val="24"/>
          <w:szCs w:val="24"/>
          <w:lang w:eastAsia="zh-CN"/>
          <w14:textFill>
            <w14:solidFill>
              <w14:schemeClr w14:val="tx1"/>
            </w14:solidFill>
          </w14:textFill>
        </w:rPr>
        <w:t>三</w:t>
      </w:r>
      <w:r>
        <w:rPr>
          <w:rFonts w:ascii="方正黑体_GBK" w:hAnsi="方正黑体_GBK" w:eastAsia="方正黑体_GBK" w:cs="方正黑体_GBK"/>
          <w:b/>
          <w:bCs/>
          <w:color w:val="000000" w:themeColor="text1"/>
          <w:sz w:val="24"/>
          <w:szCs w:val="24"/>
          <w14:textFill>
            <w14:solidFill>
              <w14:schemeClr w14:val="tx1"/>
            </w14:solidFill>
          </w14:textFill>
        </w:rPr>
        <w:t>、快递包装环保要求</w:t>
      </w:r>
    </w:p>
    <w:p w14:paraId="2B730AA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1、快递包装中重金属（铅、汞、镉、六价铬）总量应不大于100mg/kg；</w:t>
      </w:r>
    </w:p>
    <w:p w14:paraId="4269D39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2、快递包装印刷使用的油墨中不应添加邻苯二甲酸酯，其挥发性有机化合物</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VOCs</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含量应不大于5%（以重量计）；</w:t>
      </w:r>
    </w:p>
    <w:p w14:paraId="706B9CB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3、快递包装中使用纸基材的包装材料，纸基材中的有机氯的含量应不大于150 mg/kg；</w:t>
      </w:r>
    </w:p>
    <w:p w14:paraId="1309B704">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4、快递包装中使用塑料基材的包装材料不得使用邻苯二甲酸二异壬酯、邻苯二甲酸二正辛酯、邻苯二甲酸二</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2-乙基</w:t>
      </w:r>
      <w:r>
        <w:rPr>
          <w:rFonts w:hint="eastAsia" w:eastAsia="方正仿宋_GBK"/>
          <w:color w:val="000000" w:themeColor="text1"/>
          <w:sz w:val="24"/>
          <w:szCs w:val="24"/>
          <w14:textFill>
            <w14:solidFill>
              <w14:schemeClr w14:val="tx1"/>
            </w14:solidFill>
          </w14:textFill>
        </w:rPr>
        <w:t>）</w:t>
      </w:r>
      <w:r>
        <w:rPr>
          <w:rFonts w:eastAsia="方正仿宋_GBK"/>
          <w:color w:val="000000" w:themeColor="text1"/>
          <w:sz w:val="24"/>
          <w:szCs w:val="24"/>
          <w14:textFill>
            <w14:solidFill>
              <w14:schemeClr w14:val="tx1"/>
            </w14:solidFill>
          </w14:textFill>
        </w:rPr>
        <w:t>己酯、邻苯二甲酸二异癸酯、邻苯二甲酸丁基苄基酯、邻苯二甲酸二丁酯等作为增塑剂；</w:t>
      </w:r>
    </w:p>
    <w:p w14:paraId="215A3793">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5、快递中使用的塑料包装袋不得使用聚氯乙烯作为原料，且原料应为单一材质制成，生物分解率大于60%；</w:t>
      </w:r>
    </w:p>
    <w:p w14:paraId="4E2E79F5">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6、快递中使用的充气类填充物不得使用聚氯乙烯作为原料，且原料为单一材质制成，生物分解率大于60%；</w:t>
      </w:r>
    </w:p>
    <w:p w14:paraId="146CB96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7、快递中使用的集装袋应为单一材质制成，其重复使用次数应不小于80 次；</w:t>
      </w:r>
    </w:p>
    <w:p w14:paraId="37B5184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8、快递中应使用幅宽不大于45mm 的生物降解胶带；</w:t>
      </w:r>
    </w:p>
    <w:p w14:paraId="0C90DAC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9、快递包装中不得使用溶剂型胶粘剂；</w:t>
      </w:r>
    </w:p>
    <w:p w14:paraId="163EFA91">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10、快递应使用电子面单；</w:t>
      </w:r>
    </w:p>
    <w:p w14:paraId="14449A6B">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11、直接使用商品包装作为快递包装的商品，其商品包装满足《商品包装政府采购需求标准（试行）》即可；</w:t>
      </w:r>
    </w:p>
    <w:p w14:paraId="2DAD2757">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12、快递包装产品质量和封装方式应符合相关国家或行业标准技术指标要求。</w:t>
      </w:r>
    </w:p>
    <w:p w14:paraId="42982109">
      <w:pPr>
        <w:spacing w:line="560" w:lineRule="exact"/>
        <w:ind w:firstLine="480"/>
        <w:rPr>
          <w:rFonts w:eastAsia="方正仿宋_GBK"/>
          <w:color w:val="000000" w:themeColor="text1"/>
          <w:sz w:val="24"/>
          <w:szCs w:val="24"/>
          <w14:textFill>
            <w14:solidFill>
              <w14:schemeClr w14:val="tx1"/>
            </w14:solidFill>
          </w14:textFill>
        </w:rPr>
      </w:pPr>
    </w:p>
    <w:p w14:paraId="77E1B17C">
      <w:pPr>
        <w:spacing w:line="560" w:lineRule="exact"/>
        <w:ind w:firstLine="480"/>
        <w:rPr>
          <w:rFonts w:eastAsia="方正仿宋_GBK"/>
          <w:color w:val="000000" w:themeColor="text1"/>
          <w:sz w:val="24"/>
          <w:szCs w:val="24"/>
          <w14:textFill>
            <w14:solidFill>
              <w14:schemeClr w14:val="tx1"/>
            </w14:solidFill>
          </w14:textFill>
        </w:rPr>
      </w:pPr>
    </w:p>
    <w:p w14:paraId="3ADB9F86">
      <w:pPr>
        <w:spacing w:line="560" w:lineRule="exact"/>
        <w:ind w:firstLine="480"/>
        <w:rPr>
          <w:rFonts w:eastAsia="方正仿宋_GBK"/>
          <w:color w:val="000000" w:themeColor="text1"/>
          <w:sz w:val="24"/>
          <w:szCs w:val="24"/>
          <w14:textFill>
            <w14:solidFill>
              <w14:schemeClr w14:val="tx1"/>
            </w14:solidFill>
          </w14:textFill>
        </w:rPr>
      </w:pPr>
    </w:p>
    <w:p w14:paraId="5991F59F">
      <w:pPr>
        <w:spacing w:line="560" w:lineRule="exact"/>
        <w:rPr>
          <w:rFonts w:eastAsia="方正仿宋_GBK"/>
          <w:color w:val="000000" w:themeColor="text1"/>
          <w:sz w:val="24"/>
          <w:szCs w:val="24"/>
          <w14:textFill>
            <w14:solidFill>
              <w14:schemeClr w14:val="tx1"/>
            </w14:solidFill>
          </w14:textFill>
        </w:rPr>
      </w:pPr>
    </w:p>
    <w:p w14:paraId="2B819283">
      <w:pPr>
        <w:pStyle w:val="38"/>
        <w:ind w:firstLine="0"/>
        <w:rPr>
          <w:rFonts w:ascii="Times New Roman" w:hAnsi="Times New Roman" w:eastAsia="方正仿宋_GBK"/>
          <w:color w:val="000000" w:themeColor="text1"/>
          <w14:textFill>
            <w14:solidFill>
              <w14:schemeClr w14:val="tx1"/>
            </w14:solidFill>
          </w14:textFill>
        </w:rPr>
      </w:pPr>
    </w:p>
    <w:p w14:paraId="54C179E6">
      <w:pPr>
        <w:pStyle w:val="187"/>
        <w:keepNext w:val="0"/>
        <w:rPr>
          <w:rFonts w:ascii="方正小标宋_GBK" w:hAnsi="方正小标宋_GBK" w:eastAsia="方正小标宋_GBK" w:cs="方正小标宋_GBK"/>
          <w:color w:val="000000" w:themeColor="text1"/>
          <w:sz w:val="44"/>
          <w:szCs w:val="44"/>
          <w14:textFill>
            <w14:solidFill>
              <w14:schemeClr w14:val="tx1"/>
            </w14:solidFill>
          </w14:textFill>
        </w:rPr>
      </w:pPr>
      <w:r>
        <w:rPr>
          <w:rFonts w:ascii="方正小标宋_GBK" w:hAnsi="方正小标宋_GBK" w:eastAsia="方正小标宋_GBK" w:cs="方正小标宋_GBK"/>
          <w:color w:val="000000" w:themeColor="text1"/>
          <w:sz w:val="44"/>
          <w:szCs w:val="44"/>
          <w14:textFill>
            <w14:solidFill>
              <w14:schemeClr w14:val="tx1"/>
            </w14:solidFill>
          </w14:textFill>
        </w:rPr>
        <w:t>第五章  评标方法与评标标准</w:t>
      </w:r>
    </w:p>
    <w:p w14:paraId="590FC72C">
      <w:pPr>
        <w:spacing w:line="400" w:lineRule="exact"/>
        <w:rPr>
          <w:color w:val="000000" w:themeColor="text1"/>
          <w14:textFill>
            <w14:solidFill>
              <w14:schemeClr w14:val="tx1"/>
            </w14:solidFill>
          </w14:textFill>
        </w:rPr>
      </w:pPr>
    </w:p>
    <w:p w14:paraId="5AFC6D23">
      <w:pPr>
        <w:spacing w:line="480" w:lineRule="exact"/>
        <w:ind w:firstLine="480" w:firstLineChars="200"/>
        <w:rPr>
          <w:rFonts w:eastAsia="仿宋_GB2312"/>
          <w:color w:val="000000" w:themeColor="text1"/>
          <w:sz w:val="24"/>
          <w14:textFill>
            <w14:solidFill>
              <w14:schemeClr w14:val="tx1"/>
            </w14:solidFill>
          </w14:textFill>
        </w:rPr>
      </w:pPr>
      <w:r>
        <w:rPr>
          <w:rFonts w:ascii="方正黑体_GBK" w:hAnsi="方正黑体_GBK" w:eastAsia="方正黑体_GBK" w:cs="方正黑体_GBK"/>
          <w:color w:val="000000" w:themeColor="text1"/>
          <w:sz w:val="24"/>
          <w:szCs w:val="24"/>
          <w14:textFill>
            <w14:solidFill>
              <w14:schemeClr w14:val="tx1"/>
            </w14:solidFill>
          </w14:textFill>
        </w:rPr>
        <w:t>一、</w:t>
      </w:r>
      <w:r>
        <w:rPr>
          <w:rFonts w:ascii="方正黑体_GBK" w:hAnsi="方正黑体_GBK" w:eastAsia="方正黑体_GBK" w:cs="方正黑体_GBK"/>
          <w:b/>
          <w:bCs/>
          <w:color w:val="000000" w:themeColor="text1"/>
          <w:sz w:val="24"/>
          <w:szCs w:val="24"/>
          <w14:textFill>
            <w14:solidFill>
              <w14:schemeClr w14:val="tx1"/>
            </w14:solidFill>
          </w14:textFill>
        </w:rPr>
        <w:t>资格审查。</w:t>
      </w:r>
      <w:r>
        <w:rPr>
          <w:rFonts w:eastAsia="方正仿宋_GBK"/>
          <w:color w:val="000000" w:themeColor="text1"/>
          <w:sz w:val="24"/>
          <w:highlight w:val="white"/>
          <w14:textFill>
            <w14:solidFill>
              <w14:schemeClr w14:val="tx1"/>
            </w14:solidFill>
          </w14:textFill>
        </w:rPr>
        <w:t>资格审查人员按照下列指标对各投标人的资格进行审查，未通过审查的为无效标，不参与评标。</w:t>
      </w:r>
    </w:p>
    <w:tbl>
      <w:tblPr>
        <w:tblStyle w:val="31"/>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06"/>
        <w:gridCol w:w="4508"/>
      </w:tblGrid>
      <w:tr w14:paraId="56A7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06" w:type="dxa"/>
            <w:tcMar>
              <w:top w:w="57" w:type="dxa"/>
              <w:left w:w="57" w:type="dxa"/>
              <w:bottom w:w="57" w:type="dxa"/>
              <w:right w:w="57" w:type="dxa"/>
            </w:tcMar>
            <w:vAlign w:val="center"/>
          </w:tcPr>
          <w:p w14:paraId="66C35DBE">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资格审查因素</w:t>
            </w:r>
          </w:p>
        </w:tc>
        <w:tc>
          <w:tcPr>
            <w:tcW w:w="4509" w:type="dxa"/>
            <w:tcMar>
              <w:top w:w="57" w:type="dxa"/>
              <w:left w:w="57" w:type="dxa"/>
              <w:bottom w:w="57" w:type="dxa"/>
              <w:right w:w="57" w:type="dxa"/>
            </w:tcMar>
            <w:vAlign w:val="center"/>
          </w:tcPr>
          <w:p w14:paraId="778F004D">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审查标准</w:t>
            </w:r>
          </w:p>
        </w:tc>
      </w:tr>
      <w:tr w14:paraId="4B62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506" w:type="dxa"/>
            <w:tcMar>
              <w:top w:w="57" w:type="dxa"/>
              <w:left w:w="57" w:type="dxa"/>
              <w:bottom w:w="57" w:type="dxa"/>
              <w:right w:w="57" w:type="dxa"/>
            </w:tcMar>
            <w:vAlign w:val="center"/>
          </w:tcPr>
          <w:p w14:paraId="690BA77B">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投标声明及承诺函</w:t>
            </w:r>
          </w:p>
        </w:tc>
        <w:tc>
          <w:tcPr>
            <w:tcW w:w="4509" w:type="dxa"/>
            <w:tcMar>
              <w:top w:w="57" w:type="dxa"/>
              <w:left w:w="57" w:type="dxa"/>
              <w:bottom w:w="57" w:type="dxa"/>
              <w:right w:w="57" w:type="dxa"/>
            </w:tcMar>
            <w:vAlign w:val="center"/>
          </w:tcPr>
          <w:p w14:paraId="318DA8DD">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符合招标文件要求</w:t>
            </w:r>
          </w:p>
        </w:tc>
      </w:tr>
      <w:tr w14:paraId="0338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506" w:type="dxa"/>
            <w:tcMar>
              <w:top w:w="57" w:type="dxa"/>
              <w:left w:w="57" w:type="dxa"/>
              <w:bottom w:w="57" w:type="dxa"/>
              <w:right w:w="57" w:type="dxa"/>
            </w:tcMar>
            <w:vAlign w:val="center"/>
          </w:tcPr>
          <w:p w14:paraId="71B7B3DD">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信用信息</w:t>
            </w:r>
          </w:p>
        </w:tc>
        <w:tc>
          <w:tcPr>
            <w:tcW w:w="4509" w:type="dxa"/>
            <w:tcMar>
              <w:top w:w="57" w:type="dxa"/>
              <w:left w:w="57" w:type="dxa"/>
              <w:bottom w:w="57" w:type="dxa"/>
              <w:right w:w="57" w:type="dxa"/>
            </w:tcMar>
            <w:vAlign w:val="center"/>
          </w:tcPr>
          <w:p w14:paraId="466F9831">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符合招标文件要求</w:t>
            </w:r>
          </w:p>
        </w:tc>
      </w:tr>
      <w:tr w14:paraId="052F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06" w:type="dxa"/>
            <w:tcMar>
              <w:top w:w="57" w:type="dxa"/>
              <w:left w:w="57" w:type="dxa"/>
              <w:bottom w:w="57" w:type="dxa"/>
              <w:right w:w="57" w:type="dxa"/>
            </w:tcMar>
            <w:vAlign w:val="center"/>
          </w:tcPr>
          <w:p w14:paraId="29298E19">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联合体投标</w:t>
            </w:r>
          </w:p>
        </w:tc>
        <w:tc>
          <w:tcPr>
            <w:tcW w:w="4509" w:type="dxa"/>
            <w:tcMar>
              <w:top w:w="57" w:type="dxa"/>
              <w:left w:w="57" w:type="dxa"/>
              <w:bottom w:w="57" w:type="dxa"/>
              <w:right w:w="57" w:type="dxa"/>
            </w:tcMar>
            <w:vAlign w:val="center"/>
          </w:tcPr>
          <w:p w14:paraId="4870B5F5">
            <w:pPr>
              <w:spacing w:line="240" w:lineRule="exact"/>
              <w:jc w:val="left"/>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不接受联合体投标</w:t>
            </w:r>
          </w:p>
        </w:tc>
      </w:tr>
    </w:tbl>
    <w:p w14:paraId="2556B979">
      <w:pPr>
        <w:spacing w:line="200" w:lineRule="exact"/>
        <w:ind w:firstLine="560" w:firstLineChars="200"/>
        <w:rPr>
          <w:rFonts w:eastAsia="方正仿宋_GBK"/>
          <w:b/>
          <w:color w:val="000000" w:themeColor="text1"/>
          <w:sz w:val="28"/>
          <w:szCs w:val="22"/>
          <w:highlight w:val="white"/>
          <w14:textFill>
            <w14:solidFill>
              <w14:schemeClr w14:val="tx1"/>
            </w14:solidFill>
          </w14:textFill>
        </w:rPr>
      </w:pPr>
    </w:p>
    <w:p w14:paraId="14CD5EEA">
      <w:pPr>
        <w:spacing w:line="500" w:lineRule="exact"/>
        <w:ind w:firstLine="480" w:firstLineChars="200"/>
        <w:rPr>
          <w:rFonts w:eastAsia="仿宋_GB2312"/>
          <w:color w:val="000000" w:themeColor="text1"/>
          <w:sz w:val="24"/>
          <w14:textFill>
            <w14:solidFill>
              <w14:schemeClr w14:val="tx1"/>
            </w14:solidFill>
          </w14:textFill>
        </w:rPr>
      </w:pPr>
      <w:r>
        <w:rPr>
          <w:rFonts w:ascii="方正黑体_GBK" w:hAnsi="方正黑体_GBK" w:eastAsia="方正黑体_GBK" w:cs="方正黑体_GBK"/>
          <w:color w:val="000000" w:themeColor="text1"/>
          <w:sz w:val="24"/>
          <w:szCs w:val="24"/>
          <w14:textFill>
            <w14:solidFill>
              <w14:schemeClr w14:val="tx1"/>
            </w14:solidFill>
          </w14:textFill>
        </w:rPr>
        <w:t>二</w:t>
      </w:r>
      <w:r>
        <w:rPr>
          <w:rFonts w:ascii="方正黑体_GBK" w:hAnsi="方正黑体_GBK" w:eastAsia="方正黑体_GBK" w:cs="方正黑体_GBK"/>
          <w:b/>
          <w:bCs/>
          <w:color w:val="000000" w:themeColor="text1"/>
          <w:sz w:val="24"/>
          <w:szCs w:val="24"/>
          <w14:textFill>
            <w14:solidFill>
              <w14:schemeClr w14:val="tx1"/>
            </w14:solidFill>
          </w14:textFill>
        </w:rPr>
        <w:t>、符合性审查。</w:t>
      </w:r>
      <w:r>
        <w:rPr>
          <w:rFonts w:eastAsia="方正仿宋_GBK"/>
          <w:color w:val="000000" w:themeColor="text1"/>
          <w:sz w:val="24"/>
          <w:highlight w:val="white"/>
          <w14:textFill>
            <w14:solidFill>
              <w14:schemeClr w14:val="tx1"/>
            </w14:solidFill>
          </w14:textFill>
        </w:rPr>
        <w:t>评标委员会首先按照下列指标对各投标人的投标文件进行符合性审查，未通过审查的为无效标，不再参与评审。</w:t>
      </w:r>
    </w:p>
    <w:tbl>
      <w:tblPr>
        <w:tblStyle w:val="31"/>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3"/>
        <w:gridCol w:w="4517"/>
      </w:tblGrid>
      <w:tr w14:paraId="1261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13" w:type="dxa"/>
            <w:tcMar>
              <w:top w:w="57" w:type="dxa"/>
              <w:left w:w="57" w:type="dxa"/>
              <w:bottom w:w="57" w:type="dxa"/>
              <w:right w:w="57" w:type="dxa"/>
            </w:tcMar>
            <w:vAlign w:val="center"/>
          </w:tcPr>
          <w:p w14:paraId="31F474D4">
            <w:pPr>
              <w:spacing w:line="240" w:lineRule="exac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符合性审查因素</w:t>
            </w:r>
          </w:p>
        </w:tc>
        <w:tc>
          <w:tcPr>
            <w:tcW w:w="4517" w:type="dxa"/>
            <w:tcMar>
              <w:top w:w="57" w:type="dxa"/>
              <w:left w:w="57" w:type="dxa"/>
              <w:bottom w:w="57" w:type="dxa"/>
              <w:right w:w="57" w:type="dxa"/>
            </w:tcMar>
            <w:vAlign w:val="center"/>
          </w:tcPr>
          <w:p w14:paraId="79AF477A">
            <w:pPr>
              <w:spacing w:line="240" w:lineRule="exac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审查标准</w:t>
            </w:r>
          </w:p>
        </w:tc>
      </w:tr>
      <w:tr w14:paraId="4B13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13" w:type="dxa"/>
            <w:tcMar>
              <w:top w:w="57" w:type="dxa"/>
              <w:left w:w="57" w:type="dxa"/>
              <w:bottom w:w="57" w:type="dxa"/>
              <w:right w:w="57" w:type="dxa"/>
            </w:tcMar>
            <w:vAlign w:val="center"/>
          </w:tcPr>
          <w:p w14:paraId="258DDC90">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法</w:t>
            </w:r>
            <w:r>
              <w:rPr>
                <w:rFonts w:hint="eastAsia" w:ascii="方正仿宋_GBK" w:hAnsi="方正仿宋_GBK" w:eastAsia="方正仿宋_GBK" w:cs="方正仿宋_GBK"/>
                <w:color w:val="000000" w:themeColor="text1"/>
                <w:lang w:eastAsia="zh-CN"/>
                <w14:textFill>
                  <w14:solidFill>
                    <w14:schemeClr w14:val="tx1"/>
                  </w14:solidFill>
                </w14:textFill>
              </w:rPr>
              <w:t>人</w:t>
            </w:r>
            <w:r>
              <w:rPr>
                <w:rFonts w:hint="eastAsia" w:ascii="方正仿宋_GBK" w:hAnsi="方正仿宋_GBK" w:eastAsia="方正仿宋_GBK" w:cs="方正仿宋_GBK"/>
                <w:color w:val="000000" w:themeColor="text1"/>
                <w14:textFill>
                  <w14:solidFill>
                    <w14:schemeClr w14:val="tx1"/>
                  </w14:solidFill>
                </w14:textFill>
              </w:rPr>
              <w:t>授权委托书</w:t>
            </w:r>
          </w:p>
        </w:tc>
        <w:tc>
          <w:tcPr>
            <w:tcW w:w="4517" w:type="dxa"/>
            <w:tcMar>
              <w:top w:w="57" w:type="dxa"/>
              <w:left w:w="57" w:type="dxa"/>
              <w:bottom w:w="57" w:type="dxa"/>
              <w:right w:w="57" w:type="dxa"/>
            </w:tcMar>
            <w:vAlign w:val="center"/>
          </w:tcPr>
          <w:p w14:paraId="731A5193">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符合招标文件要求</w:t>
            </w:r>
          </w:p>
        </w:tc>
      </w:tr>
      <w:tr w14:paraId="3ACB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13" w:type="dxa"/>
            <w:tcMar>
              <w:top w:w="57" w:type="dxa"/>
              <w:left w:w="57" w:type="dxa"/>
              <w:bottom w:w="57" w:type="dxa"/>
              <w:right w:w="57" w:type="dxa"/>
            </w:tcMar>
            <w:vAlign w:val="center"/>
          </w:tcPr>
          <w:p w14:paraId="476FADE0">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开标一览表及投标报价</w:t>
            </w:r>
          </w:p>
        </w:tc>
        <w:tc>
          <w:tcPr>
            <w:tcW w:w="4517" w:type="dxa"/>
            <w:tcMar>
              <w:top w:w="57" w:type="dxa"/>
              <w:left w:w="57" w:type="dxa"/>
              <w:bottom w:w="57" w:type="dxa"/>
              <w:right w:w="57" w:type="dxa"/>
            </w:tcMar>
            <w:vAlign w:val="center"/>
          </w:tcPr>
          <w:p w14:paraId="00D8EED0">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格式、填写要求符合招标文件规定</w:t>
            </w:r>
          </w:p>
        </w:tc>
      </w:tr>
      <w:tr w14:paraId="19BE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13" w:type="dxa"/>
            <w:tcMar>
              <w:top w:w="57" w:type="dxa"/>
              <w:left w:w="57" w:type="dxa"/>
              <w:bottom w:w="57" w:type="dxa"/>
              <w:right w:w="57" w:type="dxa"/>
            </w:tcMar>
            <w:vAlign w:val="center"/>
          </w:tcPr>
          <w:p w14:paraId="3A3CF442">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技术标准和要求</w:t>
            </w:r>
          </w:p>
        </w:tc>
        <w:tc>
          <w:tcPr>
            <w:tcW w:w="4517" w:type="dxa"/>
            <w:tcMar>
              <w:top w:w="57" w:type="dxa"/>
              <w:left w:w="57" w:type="dxa"/>
              <w:bottom w:w="57" w:type="dxa"/>
              <w:right w:w="57" w:type="dxa"/>
            </w:tcMar>
            <w:vAlign w:val="center"/>
          </w:tcPr>
          <w:p w14:paraId="092744A1">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符合招标文件要求</w:t>
            </w:r>
          </w:p>
        </w:tc>
      </w:tr>
      <w:tr w14:paraId="33C5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13" w:type="dxa"/>
            <w:tcMar>
              <w:top w:w="57" w:type="dxa"/>
              <w:left w:w="57" w:type="dxa"/>
              <w:bottom w:w="57" w:type="dxa"/>
              <w:right w:w="57" w:type="dxa"/>
            </w:tcMar>
            <w:vAlign w:val="center"/>
          </w:tcPr>
          <w:p w14:paraId="32892D8B">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其他</w:t>
            </w:r>
          </w:p>
        </w:tc>
        <w:tc>
          <w:tcPr>
            <w:tcW w:w="4517" w:type="dxa"/>
            <w:tcMar>
              <w:top w:w="57" w:type="dxa"/>
              <w:left w:w="57" w:type="dxa"/>
              <w:bottom w:w="57" w:type="dxa"/>
              <w:right w:w="57" w:type="dxa"/>
            </w:tcMar>
            <w:vAlign w:val="center"/>
          </w:tcPr>
          <w:p w14:paraId="5B963AB3">
            <w:pPr>
              <w:spacing w:line="240" w:lineRule="exact"/>
              <w:jc w:val="left"/>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符合招标文件要求</w:t>
            </w:r>
          </w:p>
        </w:tc>
      </w:tr>
    </w:tbl>
    <w:p w14:paraId="6BB5F87F">
      <w:pPr>
        <w:spacing w:line="480" w:lineRule="exact"/>
        <w:ind w:firstLine="480" w:firstLineChars="200"/>
        <w:rPr>
          <w:rFonts w:ascii="方正黑体_GBK" w:hAnsi="方正黑体_GBK" w:eastAsia="方正黑体_GBK" w:cs="方正黑体_GBK"/>
          <w:color w:val="000000" w:themeColor="text1"/>
          <w:sz w:val="24"/>
          <w:szCs w:val="24"/>
          <w14:textFill>
            <w14:solidFill>
              <w14:schemeClr w14:val="tx1"/>
            </w14:solidFill>
          </w14:textFill>
        </w:rPr>
      </w:pPr>
      <w:r>
        <w:rPr>
          <w:rFonts w:ascii="方正黑体_GBK" w:hAnsi="方正黑体_GBK" w:eastAsia="方正黑体_GBK" w:cs="方正黑体_GBK"/>
          <w:color w:val="000000" w:themeColor="text1"/>
          <w:sz w:val="24"/>
          <w:szCs w:val="24"/>
          <w14:textFill>
            <w14:solidFill>
              <w14:schemeClr w14:val="tx1"/>
            </w14:solidFill>
          </w14:textFill>
        </w:rPr>
        <w:t>三、评分办法—综合评分法</w:t>
      </w:r>
    </w:p>
    <w:p w14:paraId="04B876AA">
      <w:pPr>
        <w:spacing w:line="500" w:lineRule="exact"/>
        <w:ind w:firstLine="482"/>
        <w:rPr>
          <w:rFonts w:eastAsia="方正仿宋_GBK"/>
          <w:color w:val="000000" w:themeColor="text1"/>
          <w:sz w:val="24"/>
          <w:highlight w:val="white"/>
          <w14:textFill>
            <w14:solidFill>
              <w14:schemeClr w14:val="tx1"/>
            </w14:solidFill>
          </w14:textFill>
        </w:rPr>
      </w:pPr>
      <w:r>
        <w:rPr>
          <w:rFonts w:eastAsia="方正仿宋_GBK"/>
          <w:b/>
          <w:color w:val="000000" w:themeColor="text1"/>
          <w:sz w:val="24"/>
          <w:highlight w:val="white"/>
          <w14:textFill>
            <w14:solidFill>
              <w14:schemeClr w14:val="tx1"/>
            </w14:solidFill>
          </w14:textFill>
        </w:rPr>
        <w:t>（一）评标办法：</w:t>
      </w:r>
      <w:r>
        <w:rPr>
          <w:rFonts w:eastAsia="方正仿宋_GBK"/>
          <w:color w:val="000000" w:themeColor="text1"/>
          <w:sz w:val="24"/>
          <w:highlight w:val="white"/>
          <w14:textFill>
            <w14:solidFill>
              <w14:schemeClr w14:val="tx1"/>
            </w14:solidFill>
          </w14:textFill>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14:paraId="63F16135">
      <w:pPr>
        <w:spacing w:line="500" w:lineRule="exact"/>
        <w:ind w:firstLine="482"/>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评标委员会根据评审后投标人排序推荐3名中标候选人。投标文件满足招标文件全部实质性要求，且评审后排序第一的投标人为第一中标候选人，依次类推。</w:t>
      </w:r>
    </w:p>
    <w:p w14:paraId="79A817AC">
      <w:pPr>
        <w:spacing w:line="500" w:lineRule="exact"/>
        <w:ind w:firstLine="482"/>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 xml:space="preserve">综合评分保留至小数点后两位。 </w:t>
      </w:r>
    </w:p>
    <w:p w14:paraId="66D80689">
      <w:pPr>
        <w:spacing w:line="500" w:lineRule="exact"/>
        <w:ind w:firstLine="482"/>
        <w:rPr>
          <w:color w:val="000000" w:themeColor="text1"/>
          <w:sz w:val="24"/>
          <w:highlight w:val="white"/>
          <w14:textFill>
            <w14:solidFill>
              <w14:schemeClr w14:val="tx1"/>
            </w14:solidFill>
          </w14:textFill>
        </w:rPr>
      </w:pPr>
      <w:r>
        <w:rPr>
          <w:rFonts w:eastAsia="方正仿宋_GBK"/>
          <w:b/>
          <w:color w:val="000000" w:themeColor="text1"/>
          <w:sz w:val="24"/>
          <w:highlight w:val="white"/>
          <w14:textFill>
            <w14:solidFill>
              <w14:schemeClr w14:val="tx1"/>
            </w14:solidFill>
          </w14:textFill>
        </w:rPr>
        <w:t>（二）详细评审。</w:t>
      </w:r>
      <w:r>
        <w:rPr>
          <w:rFonts w:eastAsia="方正仿宋_GBK"/>
          <w:color w:val="000000" w:themeColor="text1"/>
          <w:sz w:val="24"/>
          <w:highlight w:val="white"/>
          <w14:textFill>
            <w14:solidFill>
              <w14:schemeClr w14:val="tx1"/>
            </w14:solidFill>
          </w14:textFill>
        </w:rPr>
        <w:t>评标委员会按照招标文件规定的评分标准，对各投标文件进行详细评审打分。评标委员会组长对各评审专家的打分情况进行复核无误后汇总，形成评审报告。</w:t>
      </w:r>
    </w:p>
    <w:tbl>
      <w:tblPr>
        <w:tblStyle w:val="31"/>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40"/>
        <w:gridCol w:w="1167"/>
        <w:gridCol w:w="5458"/>
      </w:tblGrid>
      <w:tr w14:paraId="7432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08" w:type="dxa"/>
            <w:gridSpan w:val="2"/>
            <w:tcMar>
              <w:top w:w="57" w:type="dxa"/>
              <w:left w:w="57" w:type="dxa"/>
              <w:bottom w:w="57" w:type="dxa"/>
              <w:right w:w="57" w:type="dxa"/>
            </w:tcMar>
            <w:vAlign w:val="center"/>
          </w:tcPr>
          <w:p w14:paraId="67AA43B6">
            <w:pPr>
              <w:spacing w:line="240" w:lineRule="exact"/>
              <w:jc w:val="center"/>
              <w:rPr>
                <w:rFonts w:eastAsia="方正黑体_GBK"/>
                <w:color w:val="000000" w:themeColor="text1"/>
                <w:highlight w:val="white"/>
                <w14:textFill>
                  <w14:solidFill>
                    <w14:schemeClr w14:val="tx1"/>
                  </w14:solidFill>
                </w14:textFill>
              </w:rPr>
            </w:pPr>
            <w:bookmarkStart w:id="221" w:name="RANGE!A1"/>
            <w:r>
              <w:rPr>
                <w:rFonts w:eastAsia="方正黑体_GBK"/>
                <w:color w:val="000000" w:themeColor="text1"/>
                <w:highlight w:val="white"/>
                <w14:textFill>
                  <w14:solidFill>
                    <w14:schemeClr w14:val="tx1"/>
                  </w14:solidFill>
                </w14:textFill>
              </w:rPr>
              <w:t>评审因素</w:t>
            </w:r>
            <w:bookmarkEnd w:id="221"/>
          </w:p>
        </w:tc>
        <w:tc>
          <w:tcPr>
            <w:tcW w:w="1167" w:type="dxa"/>
            <w:tcMar>
              <w:top w:w="57" w:type="dxa"/>
              <w:left w:w="57" w:type="dxa"/>
              <w:bottom w:w="57" w:type="dxa"/>
              <w:right w:w="57" w:type="dxa"/>
            </w:tcMar>
            <w:vAlign w:val="center"/>
          </w:tcPr>
          <w:p w14:paraId="6E164A91">
            <w:pPr>
              <w:spacing w:line="240" w:lineRule="exact"/>
              <w:jc w:val="center"/>
              <w:rPr>
                <w:rFonts w:eastAsia="方正黑体_GBK"/>
                <w:color w:val="000000" w:themeColor="text1"/>
                <w:highlight w:val="white"/>
                <w14:textFill>
                  <w14:solidFill>
                    <w14:schemeClr w14:val="tx1"/>
                  </w14:solidFill>
                </w14:textFill>
              </w:rPr>
            </w:pPr>
            <w:r>
              <w:rPr>
                <w:rFonts w:eastAsia="方正黑体_GBK"/>
                <w:color w:val="000000" w:themeColor="text1"/>
                <w:highlight w:val="white"/>
                <w14:textFill>
                  <w14:solidFill>
                    <w14:schemeClr w14:val="tx1"/>
                  </w14:solidFill>
                </w14:textFill>
              </w:rPr>
              <w:t>分数</w:t>
            </w:r>
          </w:p>
        </w:tc>
        <w:tc>
          <w:tcPr>
            <w:tcW w:w="5458" w:type="dxa"/>
            <w:tcMar>
              <w:top w:w="57" w:type="dxa"/>
              <w:left w:w="57" w:type="dxa"/>
              <w:bottom w:w="57" w:type="dxa"/>
              <w:right w:w="57" w:type="dxa"/>
            </w:tcMar>
            <w:vAlign w:val="center"/>
          </w:tcPr>
          <w:p w14:paraId="4280AE0D">
            <w:pPr>
              <w:spacing w:line="240" w:lineRule="exact"/>
              <w:jc w:val="center"/>
              <w:rPr>
                <w:rFonts w:eastAsia="方正黑体_GBK"/>
                <w:color w:val="000000" w:themeColor="text1"/>
                <w:highlight w:val="white"/>
                <w14:textFill>
                  <w14:solidFill>
                    <w14:schemeClr w14:val="tx1"/>
                  </w14:solidFill>
                </w14:textFill>
              </w:rPr>
            </w:pPr>
            <w:r>
              <w:rPr>
                <w:rFonts w:eastAsia="方正黑体_GBK"/>
                <w:color w:val="000000" w:themeColor="text1"/>
                <w:highlight w:val="white"/>
                <w14:textFill>
                  <w14:solidFill>
                    <w14:schemeClr w14:val="tx1"/>
                  </w14:solidFill>
                </w14:textFill>
              </w:rPr>
              <w:t>评审标准</w:t>
            </w:r>
          </w:p>
        </w:tc>
      </w:tr>
      <w:tr w14:paraId="1D14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tcMar>
              <w:top w:w="57" w:type="dxa"/>
              <w:left w:w="57" w:type="dxa"/>
              <w:bottom w:w="57" w:type="dxa"/>
              <w:right w:w="57" w:type="dxa"/>
            </w:tcMar>
            <w:vAlign w:val="center"/>
          </w:tcPr>
          <w:p w14:paraId="72E9098B">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报价分</w:t>
            </w:r>
          </w:p>
        </w:tc>
        <w:tc>
          <w:tcPr>
            <w:tcW w:w="1240" w:type="dxa"/>
            <w:tcMar>
              <w:top w:w="57" w:type="dxa"/>
              <w:left w:w="57" w:type="dxa"/>
              <w:bottom w:w="57" w:type="dxa"/>
              <w:right w:w="57" w:type="dxa"/>
            </w:tcMar>
            <w:vAlign w:val="center"/>
          </w:tcPr>
          <w:p w14:paraId="0AF0B5F4">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投标报价</w:t>
            </w:r>
          </w:p>
        </w:tc>
        <w:tc>
          <w:tcPr>
            <w:tcW w:w="1167" w:type="dxa"/>
            <w:tcMar>
              <w:top w:w="57" w:type="dxa"/>
              <w:left w:w="57" w:type="dxa"/>
              <w:bottom w:w="57" w:type="dxa"/>
              <w:right w:w="57" w:type="dxa"/>
            </w:tcMar>
            <w:vAlign w:val="center"/>
          </w:tcPr>
          <w:p w14:paraId="25072693">
            <w:pPr>
              <w:spacing w:line="270" w:lineRule="exact"/>
              <w:jc w:val="center"/>
              <w:rPr>
                <w:rFonts w:eastAsia="方正仿宋_GBK"/>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3</w:t>
            </w:r>
            <w:r>
              <w:rPr>
                <w:rFonts w:eastAsia="方正仿宋_GBK"/>
                <w:color w:val="000000" w:themeColor="text1"/>
                <w:highlight w:val="white"/>
                <w14:textFill>
                  <w14:solidFill>
                    <w14:schemeClr w14:val="tx1"/>
                  </w14:solidFill>
                </w14:textFill>
              </w:rPr>
              <w:t>0.00分</w:t>
            </w:r>
          </w:p>
        </w:tc>
        <w:tc>
          <w:tcPr>
            <w:tcW w:w="5458" w:type="dxa"/>
            <w:tcMar>
              <w:top w:w="57" w:type="dxa"/>
              <w:left w:w="57" w:type="dxa"/>
              <w:bottom w:w="57" w:type="dxa"/>
              <w:right w:w="57" w:type="dxa"/>
            </w:tcMar>
            <w:vAlign w:val="center"/>
          </w:tcPr>
          <w:p w14:paraId="2454CE51">
            <w:pPr>
              <w:spacing w:line="270" w:lineRule="exact"/>
              <w:rPr>
                <w:rFonts w:hint="eastAsia" w:eastAsia="方正仿宋_GBK" w:cs="Times New Roman"/>
                <w:color w:val="000000" w:themeColor="text1"/>
                <w:highlight w:val="white"/>
                <w:lang w:val="en-US" w:eastAsia="zh-CN"/>
                <w14:textFill>
                  <w14:solidFill>
                    <w14:schemeClr w14:val="tx1"/>
                  </w14:solidFill>
                </w14:textFill>
              </w:rPr>
            </w:pPr>
            <w:r>
              <w:rPr>
                <w:rFonts w:hint="eastAsia" w:eastAsia="方正仿宋_GBK" w:cs="Times New Roman"/>
                <w:color w:val="000000" w:themeColor="text1"/>
                <w:highlight w:val="white"/>
                <w:lang w:val="en-US" w:eastAsia="zh-CN"/>
                <w14:textFill>
                  <w14:solidFill>
                    <w14:schemeClr w14:val="tx1"/>
                  </w14:solidFill>
                </w14:textFill>
              </w:rPr>
              <w:t>采用低价优先法计算，即满足招标文件要求且投标价格最低的投标报价为评标基准价，其价格分为满分。其他投标人投标报价得分＝（评标基准价/投标报价）*30。</w:t>
            </w:r>
          </w:p>
          <w:p w14:paraId="643C0EE4">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eastAsia="方正仿宋_GBK" w:cs="Times New Roman"/>
                <w:color w:val="000000" w:themeColor="text1"/>
                <w:highlight w:val="white"/>
                <w:lang w:val="en-US" w:eastAsia="zh-CN"/>
                <w14:textFill>
                  <w14:solidFill>
                    <w14:schemeClr w14:val="tx1"/>
                  </w14:solidFill>
                </w14:textFill>
              </w:rPr>
              <w:t>注：符合条件的小企业（含小型、微型企业）参与投标，对小型和微型企业产品的价格给予10%的扣除，用扣除后的价格参与评审。</w:t>
            </w:r>
          </w:p>
        </w:tc>
      </w:tr>
      <w:tr w14:paraId="466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tcMar>
              <w:top w:w="57" w:type="dxa"/>
              <w:left w:w="57" w:type="dxa"/>
              <w:bottom w:w="57" w:type="dxa"/>
              <w:right w:w="57" w:type="dxa"/>
            </w:tcMar>
            <w:vAlign w:val="center"/>
          </w:tcPr>
          <w:p w14:paraId="68FEE42E">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技术</w:t>
            </w:r>
          </w:p>
          <w:p w14:paraId="05E5C237">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响应</w:t>
            </w:r>
          </w:p>
        </w:tc>
        <w:tc>
          <w:tcPr>
            <w:tcW w:w="1240" w:type="dxa"/>
            <w:tcMar>
              <w:top w:w="57" w:type="dxa"/>
              <w:left w:w="57" w:type="dxa"/>
              <w:bottom w:w="57" w:type="dxa"/>
              <w:right w:w="57" w:type="dxa"/>
            </w:tcMar>
            <w:vAlign w:val="center"/>
          </w:tcPr>
          <w:p w14:paraId="0913FAA8">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技术参数响应</w:t>
            </w:r>
          </w:p>
        </w:tc>
        <w:tc>
          <w:tcPr>
            <w:tcW w:w="1167" w:type="dxa"/>
            <w:tcMar>
              <w:top w:w="57" w:type="dxa"/>
              <w:left w:w="57" w:type="dxa"/>
              <w:bottom w:w="57" w:type="dxa"/>
              <w:right w:w="57" w:type="dxa"/>
            </w:tcMar>
            <w:vAlign w:val="center"/>
          </w:tcPr>
          <w:p w14:paraId="0C5F0481">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20.00分</w:t>
            </w:r>
          </w:p>
        </w:tc>
        <w:tc>
          <w:tcPr>
            <w:tcW w:w="5458" w:type="dxa"/>
            <w:tcMar>
              <w:top w:w="57" w:type="dxa"/>
              <w:left w:w="57" w:type="dxa"/>
              <w:bottom w:w="57" w:type="dxa"/>
              <w:right w:w="57" w:type="dxa"/>
            </w:tcMar>
            <w:vAlign w:val="center"/>
          </w:tcPr>
          <w:p w14:paraId="153ADDB8">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lang w:eastAsia="zh-CN"/>
                <w14:textFill>
                  <w14:solidFill>
                    <w14:schemeClr w14:val="tx1"/>
                  </w14:solidFill>
                </w14:textFill>
              </w:rPr>
              <w:t>投标人</w:t>
            </w:r>
            <w:r>
              <w:rPr>
                <w:rFonts w:ascii="Times New Roman" w:hAnsi="Times New Roman" w:eastAsia="方正仿宋_GBK" w:cs="Times New Roman"/>
                <w:color w:val="000000" w:themeColor="text1"/>
                <w:highlight w:val="white"/>
                <w14:textFill>
                  <w14:solidFill>
                    <w14:schemeClr w14:val="tx1"/>
                  </w14:solidFill>
                </w14:textFill>
              </w:rPr>
              <w:t>所投产品的技术性能、功能、参数、规格等能够完全满足或优于采购文件中技术参数要求，得20分。</w:t>
            </w:r>
            <w:r>
              <w:rPr>
                <w:rFonts w:hint="eastAsia" w:ascii="Times New Roman" w:hAnsi="Times New Roman" w:eastAsia="方正仿宋_GBK" w:cs="Times New Roman"/>
                <w:color w:val="000000" w:themeColor="text1"/>
                <w:highlight w:val="white"/>
                <w14:textFill>
                  <w14:solidFill>
                    <w14:schemeClr w14:val="tx1"/>
                  </w14:solidFill>
                </w14:textFill>
              </w:rPr>
              <w:t>“▲”号条款为重要参数</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r>
              <w:rPr>
                <w:rFonts w:ascii="Times New Roman" w:hAnsi="Times New Roman" w:eastAsia="方正仿宋_GBK" w:cs="Times New Roman"/>
                <w:color w:val="000000" w:themeColor="text1"/>
                <w:highlight w:val="white"/>
                <w14:textFill>
                  <w14:solidFill>
                    <w14:schemeClr w14:val="tx1"/>
                  </w14:solidFill>
                </w14:textFill>
              </w:rPr>
              <w:t>每有一</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项</w:t>
            </w:r>
            <w:r>
              <w:rPr>
                <w:rFonts w:hint="eastAsia" w:eastAsia="方正仿宋_GBK" w:cs="Times New Roman"/>
                <w:color w:val="000000" w:themeColor="text1"/>
                <w:highlight w:val="white"/>
                <w:lang w:val="en-US" w:eastAsia="zh-CN"/>
                <w14:textFill>
                  <w14:solidFill>
                    <w14:schemeClr w14:val="tx1"/>
                  </w14:solidFill>
                </w14:textFill>
              </w:rPr>
              <w:t>(一个句号的完整内容为一“项”）</w:t>
            </w:r>
            <w:r>
              <w:rPr>
                <w:rFonts w:hint="eastAsia" w:ascii="Times New Roman" w:hAnsi="Times New Roman" w:eastAsia="方正仿宋_GBK" w:cs="Times New Roman"/>
                <w:color w:val="000000" w:themeColor="text1"/>
                <w:highlight w:val="white"/>
                <w14:textFill>
                  <w14:solidFill>
                    <w14:schemeClr w14:val="tx1"/>
                  </w14:solidFill>
                </w14:textFill>
              </w:rPr>
              <w:t>“▲”</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号条款</w:t>
            </w:r>
            <w:r>
              <w:rPr>
                <w:rFonts w:ascii="Times New Roman" w:hAnsi="Times New Roman" w:eastAsia="方正仿宋_GBK" w:cs="Times New Roman"/>
                <w:color w:val="000000" w:themeColor="text1"/>
                <w:highlight w:val="white"/>
                <w14:textFill>
                  <w14:solidFill>
                    <w14:schemeClr w14:val="tx1"/>
                  </w14:solidFill>
                </w14:textFill>
              </w:rPr>
              <w:t>不满足的扣1分；每有一</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项</w:t>
            </w:r>
            <w:r>
              <w:rPr>
                <w:rFonts w:hint="eastAsia" w:eastAsia="方正仿宋_GBK" w:cs="Times New Roman"/>
                <w:color w:val="000000" w:themeColor="text1"/>
                <w:highlight w:val="white"/>
                <w:lang w:val="en-US" w:eastAsia="zh-CN"/>
                <w14:textFill>
                  <w14:solidFill>
                    <w14:schemeClr w14:val="tx1"/>
                  </w14:solidFill>
                </w14:textFill>
              </w:rPr>
              <w:t>(一个句号的完整内容为一“项”）</w:t>
            </w:r>
            <w:r>
              <w:rPr>
                <w:rFonts w:ascii="Times New Roman" w:hAnsi="Times New Roman" w:eastAsia="方正仿宋_GBK" w:cs="Times New Roman"/>
                <w:color w:val="000000" w:themeColor="text1"/>
                <w:highlight w:val="white"/>
                <w14:textFill>
                  <w14:solidFill>
                    <w14:schemeClr w14:val="tx1"/>
                  </w14:solidFill>
                </w14:textFill>
              </w:rPr>
              <w:t>非</w:t>
            </w:r>
            <w:r>
              <w:rPr>
                <w:rFonts w:hint="eastAsia" w:ascii="Times New Roman" w:hAnsi="Times New Roman" w:eastAsia="方正仿宋_GBK" w:cs="Times New Roman"/>
                <w:color w:val="000000" w:themeColor="text1"/>
                <w:highlight w:val="white"/>
                <w14:textFill>
                  <w14:solidFill>
                    <w14:schemeClr w14:val="tx1"/>
                  </w14:solidFill>
                </w14:textFill>
              </w:rPr>
              <w:t>“▲”</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号条款</w:t>
            </w:r>
            <w:r>
              <w:rPr>
                <w:rFonts w:ascii="Times New Roman" w:hAnsi="Times New Roman" w:eastAsia="方正仿宋_GBK" w:cs="Times New Roman"/>
                <w:color w:val="000000" w:themeColor="text1"/>
                <w:highlight w:val="white"/>
                <w14:textFill>
                  <w14:solidFill>
                    <w14:schemeClr w14:val="tx1"/>
                  </w14:solidFill>
                </w14:textFill>
              </w:rPr>
              <w:t>不满足的扣0.</w:t>
            </w:r>
            <w:r>
              <w:rPr>
                <w:rFonts w:hint="eastAsia" w:eastAsia="方正仿宋_GBK" w:cs="Times New Roman"/>
                <w:color w:val="000000" w:themeColor="text1"/>
                <w:highlight w:val="white"/>
                <w:lang w:val="en-US" w:eastAsia="zh-CN"/>
                <w14:textFill>
                  <w14:solidFill>
                    <w14:schemeClr w14:val="tx1"/>
                  </w14:solidFill>
                </w14:textFill>
              </w:rPr>
              <w:t>1</w:t>
            </w:r>
            <w:r>
              <w:rPr>
                <w:rFonts w:ascii="Times New Roman" w:hAnsi="Times New Roman" w:eastAsia="方正仿宋_GBK" w:cs="Times New Roman"/>
                <w:color w:val="000000" w:themeColor="text1"/>
                <w:highlight w:val="white"/>
                <w14:textFill>
                  <w14:solidFill>
                    <w14:schemeClr w14:val="tx1"/>
                  </w14:solidFill>
                </w14:textFill>
              </w:rPr>
              <w:t xml:space="preserve">分，扣完为止。 </w:t>
            </w:r>
          </w:p>
          <w:p w14:paraId="510CC3ED">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注：投标人针对本项评分内容在投标文件《技术要求响应及偏离表》中逐条列出响应及偏离情况，未在响应偏离表中列明偏离情况的对应项按负偏离进行扣分处理。</w:t>
            </w:r>
          </w:p>
        </w:tc>
      </w:tr>
      <w:tr w14:paraId="783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868" w:type="dxa"/>
            <w:vMerge w:val="continue"/>
            <w:tcMar>
              <w:top w:w="57" w:type="dxa"/>
              <w:left w:w="57" w:type="dxa"/>
              <w:bottom w:w="57" w:type="dxa"/>
              <w:right w:w="57" w:type="dxa"/>
            </w:tcMar>
            <w:vAlign w:val="center"/>
          </w:tcPr>
          <w:p w14:paraId="6B71ED48">
            <w:pPr>
              <w:spacing w:line="27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18B90336">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节能环保</w:t>
            </w:r>
          </w:p>
        </w:tc>
        <w:tc>
          <w:tcPr>
            <w:tcW w:w="1167" w:type="dxa"/>
            <w:tcMar>
              <w:top w:w="57" w:type="dxa"/>
              <w:left w:w="57" w:type="dxa"/>
              <w:bottom w:w="57" w:type="dxa"/>
              <w:right w:w="57" w:type="dxa"/>
            </w:tcMar>
            <w:vAlign w:val="center"/>
          </w:tcPr>
          <w:p w14:paraId="6701BDCC">
            <w:pPr>
              <w:spacing w:line="27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2.00分</w:t>
            </w:r>
          </w:p>
        </w:tc>
        <w:tc>
          <w:tcPr>
            <w:tcW w:w="5458" w:type="dxa"/>
            <w:tcMar>
              <w:top w:w="57" w:type="dxa"/>
              <w:left w:w="57" w:type="dxa"/>
              <w:bottom w:w="57" w:type="dxa"/>
              <w:right w:w="57" w:type="dxa"/>
            </w:tcMar>
            <w:vAlign w:val="center"/>
          </w:tcPr>
          <w:p w14:paraId="532AB43C">
            <w:pPr>
              <w:spacing w:line="270" w:lineRule="exact"/>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1.投标产品在财政部，生态环境部公布的“环境标志产品政府采购品目清单”内，且投标文件中提供国家市场监督管理局确定的列入“参与实施政府采购环境标志产品认证机构名录”内的认证机构出具的、有效期内的该产品环境标志产品认证证书电子件的，每提供一个得 1分，本项最高得1分</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w:t>
            </w:r>
          </w:p>
          <w:p w14:paraId="4A07455B">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2.投标产品在财政部、发展改革委公布的“节能产品政府采购品目清单”内（属于政府强制采购产品除外），且投标文件中提供国家市场监督管理局确定的列入“参与实施政府采购节能产品认证机构名录”内的认证机构出具的、有效期内的该产品的节能产品认证证书电子件的，每提供一个得1分，本项最高得1分。</w:t>
            </w:r>
          </w:p>
          <w:p w14:paraId="505A4E4E">
            <w:pPr>
              <w:spacing w:line="270" w:lineRule="exact"/>
              <w:rPr>
                <w:rFonts w:hint="default" w:ascii="Times New Roman" w:hAnsi="Times New Roman" w:eastAsia="方正仿宋_GBK" w:cs="Times New Roman"/>
                <w:color w:val="000000" w:themeColor="text1"/>
                <w:highlight w:val="white"/>
                <w:lang w:val="en-US" w:eastAsia="zh-CN"/>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注：投标文件提供上述证书电子件和在国家市场监督管理总局全国认证认可信息公共服务平台查询认证完整页面截图，未提供的不得分。</w:t>
            </w:r>
          </w:p>
        </w:tc>
      </w:tr>
      <w:tr w14:paraId="2106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tcMar>
              <w:top w:w="57" w:type="dxa"/>
              <w:left w:w="57" w:type="dxa"/>
              <w:bottom w:w="57" w:type="dxa"/>
              <w:right w:w="57" w:type="dxa"/>
            </w:tcMar>
            <w:vAlign w:val="center"/>
          </w:tcPr>
          <w:p w14:paraId="2A002B36">
            <w:pPr>
              <w:spacing w:line="270" w:lineRule="exact"/>
              <w:jc w:val="center"/>
              <w:rPr>
                <w:rFonts w:hint="eastAsia" w:eastAsia="方正仿宋_GBK"/>
                <w:color w:val="000000" w:themeColor="text1"/>
                <w:highlight w:val="white"/>
                <w:lang w:eastAsia="zh-CN"/>
                <w14:textFill>
                  <w14:solidFill>
                    <w14:schemeClr w14:val="tx1"/>
                  </w14:solidFill>
                </w14:textFill>
              </w:rPr>
            </w:pPr>
            <w:r>
              <w:rPr>
                <w:rFonts w:eastAsia="方正仿宋_GBK"/>
                <w:color w:val="000000" w:themeColor="text1"/>
                <w:highlight w:val="white"/>
                <w14:textFill>
                  <w14:solidFill>
                    <w14:schemeClr w14:val="tx1"/>
                  </w14:solidFill>
                </w14:textFill>
              </w:rPr>
              <w:t>企业经营业绩</w:t>
            </w:r>
            <w:r>
              <w:rPr>
                <w:rFonts w:hint="eastAsia" w:eastAsia="方正仿宋_GBK"/>
                <w:color w:val="000000" w:themeColor="text1"/>
                <w:highlight w:val="white"/>
                <w:lang w:eastAsia="zh-CN"/>
                <w14:textFill>
                  <w14:solidFill>
                    <w14:schemeClr w14:val="tx1"/>
                  </w14:solidFill>
                </w14:textFill>
              </w:rPr>
              <w:t>、相关证书</w:t>
            </w:r>
          </w:p>
        </w:tc>
        <w:tc>
          <w:tcPr>
            <w:tcW w:w="1240" w:type="dxa"/>
            <w:tcMar>
              <w:top w:w="57" w:type="dxa"/>
              <w:left w:w="57" w:type="dxa"/>
              <w:bottom w:w="57" w:type="dxa"/>
              <w:right w:w="57" w:type="dxa"/>
            </w:tcMar>
            <w:vAlign w:val="center"/>
          </w:tcPr>
          <w:p w14:paraId="74700379">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企业业绩</w:t>
            </w:r>
          </w:p>
        </w:tc>
        <w:tc>
          <w:tcPr>
            <w:tcW w:w="1167" w:type="dxa"/>
            <w:tcMar>
              <w:top w:w="57" w:type="dxa"/>
              <w:left w:w="57" w:type="dxa"/>
              <w:bottom w:w="57" w:type="dxa"/>
              <w:right w:w="57" w:type="dxa"/>
            </w:tcMar>
            <w:vAlign w:val="center"/>
          </w:tcPr>
          <w:p w14:paraId="79FA83CA">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15</w:t>
            </w:r>
            <w:r>
              <w:rPr>
                <w:rFonts w:ascii="Times New Roman" w:hAnsi="Times New Roman" w:eastAsia="方正仿宋_GBK" w:cs="Times New Roman"/>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1DD4BA66">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投标人自2021年1月1日以来（以合同签订时间为准）</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r>
              <w:rPr>
                <w:rFonts w:hint="eastAsia" w:ascii="Times New Roman" w:hAnsi="Times New Roman" w:eastAsia="方正仿宋_GBK" w:cs="Times New Roman"/>
                <w:color w:val="000000" w:themeColor="text1"/>
                <w:highlight w:val="white"/>
                <w14:textFill>
                  <w14:solidFill>
                    <w14:schemeClr w14:val="tx1"/>
                  </w14:solidFill>
                </w14:textFill>
              </w:rPr>
              <w:t>具有类似项目业绩的，每有一个得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5</w:t>
            </w:r>
            <w:r>
              <w:rPr>
                <w:rFonts w:hint="eastAsia" w:ascii="Times New Roman" w:hAnsi="Times New Roman" w:eastAsia="方正仿宋_GBK" w:cs="Times New Roman"/>
                <w:color w:val="000000" w:themeColor="text1"/>
                <w:highlight w:val="white"/>
                <w14:textFill>
                  <w14:solidFill>
                    <w14:schemeClr w14:val="tx1"/>
                  </w14:solidFill>
                </w14:textFill>
              </w:rPr>
              <w:t>分，最高得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15</w:t>
            </w:r>
            <w:r>
              <w:rPr>
                <w:rFonts w:hint="eastAsia" w:ascii="Times New Roman" w:hAnsi="Times New Roman" w:eastAsia="方正仿宋_GBK" w:cs="Times New Roman"/>
                <w:color w:val="000000" w:themeColor="text1"/>
                <w:highlight w:val="white"/>
                <w14:textFill>
                  <w14:solidFill>
                    <w14:schemeClr w14:val="tx1"/>
                  </w14:solidFill>
                </w14:textFill>
              </w:rPr>
              <w:t>分。</w:t>
            </w:r>
          </w:p>
          <w:p w14:paraId="16205534">
            <w:pPr>
              <w:spacing w:line="270" w:lineRule="exact"/>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1.</w:t>
            </w:r>
            <w:r>
              <w:rPr>
                <w:rFonts w:hint="eastAsia" w:ascii="Times New Roman" w:hAnsi="Times New Roman" w:eastAsia="方正仿宋_GBK" w:cs="Times New Roman"/>
                <w:color w:val="000000" w:themeColor="text1"/>
                <w:highlight w:val="white"/>
                <w14:textFill>
                  <w14:solidFill>
                    <w14:schemeClr w14:val="tx1"/>
                  </w14:solidFill>
                </w14:textFill>
              </w:rPr>
              <w:t>业绩需提供合同电子件</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作为证明材料</w:t>
            </w:r>
            <w:r>
              <w:rPr>
                <w:rFonts w:hint="eastAsia" w:ascii="Times New Roman" w:hAnsi="Times New Roman" w:eastAsia="方正仿宋_GBK" w:cs="Times New Roman"/>
                <w:color w:val="000000" w:themeColor="text1"/>
                <w:highlight w:val="white"/>
                <w14:textFill>
                  <w14:solidFill>
                    <w14:schemeClr w14:val="tx1"/>
                  </w14:solidFill>
                </w14:textFill>
              </w:rPr>
              <w:t>，且业绩合同中主要内容、标的、</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签订时间</w:t>
            </w:r>
            <w:r>
              <w:rPr>
                <w:rFonts w:hint="eastAsia" w:ascii="Times New Roman" w:hAnsi="Times New Roman" w:eastAsia="方正仿宋_GBK" w:cs="Times New Roman"/>
                <w:color w:val="000000" w:themeColor="text1"/>
                <w:highlight w:val="white"/>
                <w14:textFill>
                  <w14:solidFill>
                    <w14:schemeClr w14:val="tx1"/>
                  </w14:solidFill>
                </w14:textFill>
              </w:rPr>
              <w:t>等清晰可见，否则该业绩不得分</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2.类似项目业绩指</w:t>
            </w:r>
            <w:r>
              <w:rPr>
                <w:rFonts w:hint="eastAsia" w:ascii="Times New Roman" w:hAnsi="Times New Roman" w:eastAsia="方正仿宋_GBK" w:cs="Times New Roman"/>
                <w:color w:val="000000" w:themeColor="text1"/>
                <w:highlight w:val="white"/>
                <w14:textFill>
                  <w14:solidFill>
                    <w14:schemeClr w14:val="tx1"/>
                  </w14:solidFill>
                </w14:textFill>
              </w:rPr>
              <w:t>桥梁健康监测（或桥梁检测）项目</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p>
        </w:tc>
      </w:tr>
      <w:tr w14:paraId="214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0B471CAB">
            <w:pPr>
              <w:spacing w:line="27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128E939F">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相关证书</w:t>
            </w:r>
          </w:p>
        </w:tc>
        <w:tc>
          <w:tcPr>
            <w:tcW w:w="1167" w:type="dxa"/>
            <w:tcMar>
              <w:top w:w="57" w:type="dxa"/>
              <w:left w:w="57" w:type="dxa"/>
              <w:bottom w:w="57" w:type="dxa"/>
              <w:right w:w="57" w:type="dxa"/>
            </w:tcMar>
            <w:vAlign w:val="center"/>
          </w:tcPr>
          <w:p w14:paraId="4C9EBD15">
            <w:pPr>
              <w:spacing w:line="270" w:lineRule="exact"/>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pP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28A12E22">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投标人具有在有效期内的质量管理体系认证证书、职业健康安全管理体系认证证书、环境管理体系认证证书的，每提供1个得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1</w:t>
            </w:r>
            <w:r>
              <w:rPr>
                <w:rFonts w:hint="eastAsia" w:ascii="Times New Roman" w:hAnsi="Times New Roman" w:eastAsia="方正仿宋_GBK" w:cs="Times New Roman"/>
                <w:color w:val="000000" w:themeColor="text1"/>
                <w:highlight w:val="white"/>
                <w14:textFill>
                  <w14:solidFill>
                    <w14:schemeClr w14:val="tx1"/>
                  </w14:solidFill>
                </w14:textFill>
              </w:rPr>
              <w:t>分，最高得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w:t>
            </w:r>
          </w:p>
          <w:p w14:paraId="7670B81A">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 xml:space="preserve">投标文件中提供上述相关证书电子件和国家市场监督管理总局全国认证认可信息公共服务平台查询认证有效的页面截图，未提供的不得分； </w:t>
            </w:r>
          </w:p>
        </w:tc>
      </w:tr>
      <w:tr w14:paraId="5FC9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tcMar>
              <w:top w:w="57" w:type="dxa"/>
              <w:left w:w="57" w:type="dxa"/>
              <w:bottom w:w="57" w:type="dxa"/>
              <w:right w:w="57" w:type="dxa"/>
            </w:tcMar>
            <w:vAlign w:val="center"/>
          </w:tcPr>
          <w:p w14:paraId="638569A1">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项目管理力量、安装调试技术人</w:t>
            </w:r>
          </w:p>
          <w:p w14:paraId="3F48AC63">
            <w:pPr>
              <w:spacing w:line="280" w:lineRule="exact"/>
              <w:jc w:val="center"/>
              <w:rPr>
                <w:rFonts w:eastAsia="方正仿宋_GBK"/>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员配备</w:t>
            </w:r>
          </w:p>
        </w:tc>
        <w:tc>
          <w:tcPr>
            <w:tcW w:w="1240" w:type="dxa"/>
            <w:tcMar>
              <w:top w:w="57" w:type="dxa"/>
              <w:left w:w="57" w:type="dxa"/>
              <w:bottom w:w="57" w:type="dxa"/>
              <w:right w:w="57" w:type="dxa"/>
            </w:tcMar>
            <w:vAlign w:val="center"/>
          </w:tcPr>
          <w:p w14:paraId="49D2CE33">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项目负责人</w:t>
            </w:r>
          </w:p>
        </w:tc>
        <w:tc>
          <w:tcPr>
            <w:tcW w:w="1167" w:type="dxa"/>
            <w:tcMar>
              <w:top w:w="57" w:type="dxa"/>
              <w:left w:w="57" w:type="dxa"/>
              <w:bottom w:w="57" w:type="dxa"/>
              <w:right w:w="57" w:type="dxa"/>
            </w:tcMar>
            <w:vAlign w:val="center"/>
          </w:tcPr>
          <w:p w14:paraId="752AEB60">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6</w:t>
            </w:r>
            <w:r>
              <w:rPr>
                <w:rFonts w:hint="eastAsia"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5768D7E7">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1、具有网络工程师、系统分析师、信息系统项目管理师证书的，每有以上任意一个证书得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分，最多得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w:t>
            </w:r>
          </w:p>
          <w:p w14:paraId="22B1E2A8">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2、具有高级及以上工程师</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职称</w:t>
            </w:r>
            <w:r>
              <w:rPr>
                <w:rFonts w:hint="eastAsia" w:ascii="Times New Roman" w:hAnsi="Times New Roman" w:eastAsia="方正仿宋_GBK" w:cs="Times New Roman"/>
                <w:color w:val="000000" w:themeColor="text1"/>
                <w:highlight w:val="white"/>
                <w14:textFill>
                  <w14:solidFill>
                    <w14:schemeClr w14:val="tx1"/>
                  </w14:solidFill>
                </w14:textFill>
              </w:rPr>
              <w:t>的得</w:t>
            </w:r>
            <w:r>
              <w:rPr>
                <w:rFonts w:hint="eastAsia"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具有中级工程师职称的得1分</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w:t>
            </w:r>
            <w:r>
              <w:rPr>
                <w:rFonts w:hint="eastAsia" w:ascii="Times New Roman" w:hAnsi="Times New Roman" w:eastAsia="方正仿宋_GBK" w:cs="Times New Roman"/>
                <w:color w:val="000000" w:themeColor="text1"/>
                <w:highlight w:val="white"/>
                <w14:textFill>
                  <w14:solidFill>
                    <w14:schemeClr w14:val="tx1"/>
                  </w14:solidFill>
                </w14:textFill>
              </w:rPr>
              <w:t>最多得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w:t>
            </w:r>
          </w:p>
          <w:p w14:paraId="58207AB4">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注：投标文件中提供项目负责人相关证书电子件和2024年</w:t>
            </w:r>
            <w:r>
              <w:rPr>
                <w:rFonts w:hint="eastAsia" w:eastAsia="方正仿宋_GBK" w:cs="Times New Roman"/>
                <w:color w:val="000000" w:themeColor="text1"/>
                <w:highlight w:val="white"/>
                <w:lang w:val="en-US" w:eastAsia="zh-CN"/>
                <w14:textFill>
                  <w14:solidFill>
                    <w14:schemeClr w14:val="tx1"/>
                  </w14:solidFill>
                </w14:textFill>
              </w:rPr>
              <w:t>6</w:t>
            </w:r>
            <w:r>
              <w:rPr>
                <w:rFonts w:hint="eastAsia" w:ascii="Times New Roman" w:hAnsi="Times New Roman" w:eastAsia="方正仿宋_GBK" w:cs="Times New Roman"/>
                <w:color w:val="000000" w:themeColor="text1"/>
                <w:highlight w:val="white"/>
                <w14:textFill>
                  <w14:solidFill>
                    <w14:schemeClr w14:val="tx1"/>
                  </w14:solidFill>
                </w14:textFill>
              </w:rPr>
              <w:t>月（含）以来任意一月投标人为其缴纳的社会保险证明电子件，证明以社保主管部门的证明为准，未提供或提供不全不得分。</w:t>
            </w:r>
          </w:p>
        </w:tc>
      </w:tr>
      <w:tr w14:paraId="08C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545C4EA9">
            <w:pPr>
              <w:spacing w:line="280" w:lineRule="exact"/>
              <w:jc w:val="center"/>
              <w:rPr>
                <w:rFonts w:hint="eastAsia" w:ascii="Times New Roman" w:hAnsi="Times New Roman" w:eastAsia="方正仿宋_GBK" w:cs="Times New Roman"/>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6C6A492E">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eastAsia="方正仿宋_GBK"/>
                <w:color w:val="000000" w:themeColor="text1"/>
                <w:highlight w:val="white"/>
                <w14:textFill>
                  <w14:solidFill>
                    <w14:schemeClr w14:val="tx1"/>
                  </w14:solidFill>
                </w14:textFill>
              </w:rPr>
              <w:t>项目组成员（不含项目负责人）</w:t>
            </w:r>
          </w:p>
        </w:tc>
        <w:tc>
          <w:tcPr>
            <w:tcW w:w="1167" w:type="dxa"/>
            <w:tcMar>
              <w:top w:w="57" w:type="dxa"/>
              <w:left w:w="57" w:type="dxa"/>
              <w:bottom w:w="57" w:type="dxa"/>
              <w:right w:w="57" w:type="dxa"/>
            </w:tcMar>
            <w:vAlign w:val="center"/>
          </w:tcPr>
          <w:p w14:paraId="1A67297D">
            <w:pPr>
              <w:spacing w:line="270" w:lineRule="exact"/>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4</w:t>
            </w:r>
            <w:r>
              <w:rPr>
                <w:rFonts w:hint="eastAsia"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4B61B2F7">
            <w:pPr>
              <w:spacing w:line="270" w:lineRule="exact"/>
              <w:rPr>
                <w:rFonts w:hint="eastAsia"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1、具有网络</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工程</w:t>
            </w:r>
            <w:r>
              <w:rPr>
                <w:rFonts w:hint="eastAsia" w:ascii="Times New Roman" w:hAnsi="Times New Roman" w:eastAsia="方正仿宋_GBK" w:cs="Times New Roman"/>
                <w:color w:val="000000" w:themeColor="text1"/>
                <w:highlight w:val="white"/>
                <w14:textFill>
                  <w14:solidFill>
                    <w14:schemeClr w14:val="tx1"/>
                  </w14:solidFill>
                </w14:textFill>
              </w:rPr>
              <w:t>师、信息系统项目管理师证书</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、系统分析师、</w:t>
            </w:r>
            <w:r>
              <w:rPr>
                <w:rFonts w:hint="eastAsia" w:ascii="Times New Roman" w:hAnsi="Times New Roman" w:eastAsia="方正仿宋_GBK" w:cs="Times New Roman"/>
                <w:color w:val="000000" w:themeColor="text1"/>
                <w:highlight w:val="white"/>
                <w14:textFill>
                  <w14:solidFill>
                    <w14:schemeClr w14:val="tx1"/>
                  </w14:solidFill>
                </w14:textFill>
              </w:rPr>
              <w:t>软件设计师、</w:t>
            </w:r>
            <w:r>
              <w:rPr>
                <w:rFonts w:hint="eastAsia" w:ascii="Times New Roman" w:hAnsi="Times New Roman" w:eastAsia="方正仿宋_GBK" w:cs="Times New Roman"/>
                <w:color w:val="000000" w:themeColor="text1"/>
                <w:highlight w:val="white"/>
                <w:lang w:eastAsia="zh-CN"/>
                <w14:textFill>
                  <w14:solidFill>
                    <w14:schemeClr w14:val="tx1"/>
                  </w14:solidFill>
                </w14:textFill>
              </w:rPr>
              <w:t>信息系统管理工程师、信息安全工程师</w:t>
            </w:r>
            <w:r>
              <w:rPr>
                <w:rFonts w:hint="eastAsia" w:ascii="Times New Roman" w:hAnsi="Times New Roman" w:eastAsia="方正仿宋_GBK" w:cs="Times New Roman"/>
                <w:color w:val="000000" w:themeColor="text1"/>
                <w:highlight w:val="white"/>
                <w14:textFill>
                  <w14:solidFill>
                    <w14:schemeClr w14:val="tx1"/>
                  </w14:solidFill>
                </w14:textFill>
              </w:rPr>
              <w:t>的，每有一个得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2</w:t>
            </w:r>
            <w:r>
              <w:rPr>
                <w:rFonts w:hint="eastAsia" w:ascii="Times New Roman" w:hAnsi="Times New Roman" w:eastAsia="方正仿宋_GBK" w:cs="Times New Roman"/>
                <w:color w:val="000000" w:themeColor="text1"/>
                <w:highlight w:val="white"/>
                <w14:textFill>
                  <w14:solidFill>
                    <w14:schemeClr w14:val="tx1"/>
                  </w14:solidFill>
                </w14:textFill>
              </w:rPr>
              <w:t>分，最多得</w:t>
            </w:r>
            <w:r>
              <w:rPr>
                <w:rFonts w:hint="eastAsia" w:ascii="Times New Roman" w:hAnsi="Times New Roman" w:eastAsia="方正仿宋_GBK" w:cs="Times New Roman"/>
                <w:color w:val="000000" w:themeColor="text1"/>
                <w:highlight w:val="white"/>
                <w:lang w:val="en-US" w:eastAsia="zh-CN"/>
                <w14:textFill>
                  <w14:solidFill>
                    <w14:schemeClr w14:val="tx1"/>
                  </w14:solidFill>
                </w14:textFill>
              </w:rPr>
              <w:t>4</w:t>
            </w:r>
            <w:r>
              <w:rPr>
                <w:rFonts w:hint="eastAsia" w:ascii="Times New Roman" w:hAnsi="Times New Roman" w:eastAsia="方正仿宋_GBK" w:cs="Times New Roman"/>
                <w:color w:val="000000" w:themeColor="text1"/>
                <w:highlight w:val="white"/>
                <w14:textFill>
                  <w14:solidFill>
                    <w14:schemeClr w14:val="tx1"/>
                  </w14:solidFill>
                </w14:textFill>
              </w:rPr>
              <w:t>分。</w:t>
            </w:r>
          </w:p>
          <w:p w14:paraId="2B50176D">
            <w:pPr>
              <w:spacing w:line="270" w:lineRule="exact"/>
              <w:rPr>
                <w:rFonts w:hint="eastAsia" w:ascii="Times New Roman" w:hAnsi="Times New Roman" w:eastAsia="方正仿宋_GBK" w:cs="Times New Roman"/>
                <w:color w:val="000000" w:themeColor="text1"/>
                <w:highlight w:val="white"/>
                <w:lang w:eastAsia="zh-CN"/>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注：1、投标文件中提供以上人员相关证书电子件和2024年</w:t>
            </w:r>
            <w:r>
              <w:rPr>
                <w:rFonts w:hint="eastAsia" w:eastAsia="方正仿宋_GBK" w:cs="Times New Roman"/>
                <w:color w:val="000000" w:themeColor="text1"/>
                <w:highlight w:val="white"/>
                <w:lang w:val="en-US" w:eastAsia="zh-CN"/>
                <w14:textFill>
                  <w14:solidFill>
                    <w14:schemeClr w14:val="tx1"/>
                  </w14:solidFill>
                </w14:textFill>
              </w:rPr>
              <w:t>6</w:t>
            </w:r>
            <w:r>
              <w:rPr>
                <w:rFonts w:hint="eastAsia" w:ascii="Times New Roman" w:hAnsi="Times New Roman" w:eastAsia="方正仿宋_GBK" w:cs="Times New Roman"/>
                <w:color w:val="000000" w:themeColor="text1"/>
                <w:highlight w:val="white"/>
                <w14:textFill>
                  <w14:solidFill>
                    <w14:schemeClr w14:val="tx1"/>
                  </w14:solidFill>
                </w14:textFill>
              </w:rPr>
              <w:t>月（含）以来任意一月投标人为其缴纳的社会保险证明电子件，证明以社保主管部门的证明为准，未提供或提供不全不得分。2、同一人</w:t>
            </w:r>
            <w:r>
              <w:rPr>
                <w:rFonts w:hint="eastAsia" w:eastAsia="方正仿宋_GBK" w:cs="Times New Roman"/>
                <w:color w:val="000000" w:themeColor="text1"/>
                <w:highlight w:val="white"/>
                <w:lang w:eastAsia="zh-CN"/>
                <w14:textFill>
                  <w14:solidFill>
                    <w14:schemeClr w14:val="tx1"/>
                  </w14:solidFill>
                </w14:textFill>
              </w:rPr>
              <w:t>员</w:t>
            </w:r>
            <w:r>
              <w:rPr>
                <w:rFonts w:hint="eastAsia" w:ascii="Times New Roman" w:hAnsi="Times New Roman" w:eastAsia="方正仿宋_GBK" w:cs="Times New Roman"/>
                <w:color w:val="000000" w:themeColor="text1"/>
                <w:highlight w:val="white"/>
                <w14:textFill>
                  <w14:solidFill>
                    <w14:schemeClr w14:val="tx1"/>
                  </w14:solidFill>
                </w14:textFill>
              </w:rPr>
              <w:t>具有多个证书的不重复计分。</w:t>
            </w:r>
          </w:p>
        </w:tc>
      </w:tr>
      <w:tr w14:paraId="58D8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tcMar>
              <w:top w:w="57" w:type="dxa"/>
              <w:left w:w="57" w:type="dxa"/>
              <w:bottom w:w="57" w:type="dxa"/>
              <w:right w:w="57" w:type="dxa"/>
            </w:tcMar>
            <w:vAlign w:val="center"/>
          </w:tcPr>
          <w:p w14:paraId="246844FB">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项目总体实施方案</w:t>
            </w:r>
          </w:p>
        </w:tc>
        <w:tc>
          <w:tcPr>
            <w:tcW w:w="1240" w:type="dxa"/>
            <w:tcMar>
              <w:top w:w="57" w:type="dxa"/>
              <w:left w:w="57" w:type="dxa"/>
              <w:bottom w:w="57" w:type="dxa"/>
              <w:right w:w="57" w:type="dxa"/>
            </w:tcMar>
            <w:vAlign w:val="center"/>
          </w:tcPr>
          <w:p w14:paraId="32B81D4B">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项目实施</w:t>
            </w:r>
          </w:p>
          <w:p w14:paraId="49E347CB">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方案</w:t>
            </w:r>
          </w:p>
        </w:tc>
        <w:tc>
          <w:tcPr>
            <w:tcW w:w="1167" w:type="dxa"/>
            <w:tcMar>
              <w:top w:w="57" w:type="dxa"/>
              <w:left w:w="57" w:type="dxa"/>
              <w:bottom w:w="57" w:type="dxa"/>
              <w:right w:w="57" w:type="dxa"/>
            </w:tcMar>
            <w:vAlign w:val="center"/>
          </w:tcPr>
          <w:p w14:paraId="0E184312">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5.00分</w:t>
            </w:r>
          </w:p>
        </w:tc>
        <w:tc>
          <w:tcPr>
            <w:tcW w:w="5458" w:type="dxa"/>
            <w:tcMar>
              <w:top w:w="57" w:type="dxa"/>
              <w:left w:w="57" w:type="dxa"/>
              <w:bottom w:w="57" w:type="dxa"/>
              <w:right w:w="57" w:type="dxa"/>
            </w:tcMar>
            <w:vAlign w:val="center"/>
          </w:tcPr>
          <w:p w14:paraId="4FC24B13">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根据投标人提供的针对本项目的实施方案即质量保证、人员配备、岗位职责、安装调试、进度计划及保障等内容进行打分：方案内容详细全面、合理性好、优于采购需求的得5分；方案完整、措施基本可行，能够满足本项目采购需求的得3分；方案存在不足，基本可以满足项目实施要求，后期可以通过完善修正的，得1分；没有内容或不符合招标文件要求的不得分。</w:t>
            </w:r>
          </w:p>
        </w:tc>
      </w:tr>
      <w:tr w14:paraId="1FDC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6BC96437">
            <w:pPr>
              <w:spacing w:line="28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21F3052E">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需求理解</w:t>
            </w:r>
          </w:p>
          <w:p w14:paraId="6281150D">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分析</w:t>
            </w:r>
          </w:p>
        </w:tc>
        <w:tc>
          <w:tcPr>
            <w:tcW w:w="1167" w:type="dxa"/>
            <w:tcMar>
              <w:top w:w="57" w:type="dxa"/>
              <w:left w:w="57" w:type="dxa"/>
              <w:bottom w:w="57" w:type="dxa"/>
              <w:right w:w="57" w:type="dxa"/>
            </w:tcMar>
            <w:vAlign w:val="center"/>
          </w:tcPr>
          <w:p w14:paraId="5DAB3963">
            <w:pPr>
              <w:spacing w:line="280" w:lineRule="exact"/>
              <w:jc w:val="center"/>
              <w:rPr>
                <w:rFonts w:eastAsia="方正仿宋_GBK"/>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4</w:t>
            </w:r>
            <w:r>
              <w:rPr>
                <w:rFonts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14649AE9">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结合本地实际情况，投标人对宿迁市城市生命线项目（桥梁试点场景）建设的项目概况、需求、现状及重难点问题进行分析。方案结构清晰，描述准确、全面、完整，科学合理有针对性的得</w:t>
            </w:r>
            <w:r>
              <w:rPr>
                <w:rFonts w:hint="eastAsia" w:eastAsia="方正仿宋_GBK" w:cs="Times New Roman"/>
                <w:color w:val="000000" w:themeColor="text1"/>
                <w:highlight w:val="white"/>
                <w:lang w:val="en-US" w:eastAsia="zh-CN"/>
                <w14:textFill>
                  <w14:solidFill>
                    <w14:schemeClr w14:val="tx1"/>
                  </w14:solidFill>
                </w14:textFill>
              </w:rPr>
              <w:t>4</w:t>
            </w:r>
            <w:r>
              <w:rPr>
                <w:rFonts w:ascii="Times New Roman" w:hAnsi="Times New Roman" w:eastAsia="方正仿宋_GBK" w:cs="Times New Roman"/>
                <w:color w:val="000000" w:themeColor="text1"/>
                <w:highlight w:val="white"/>
                <w14:textFill>
                  <w14:solidFill>
                    <w14:schemeClr w14:val="tx1"/>
                  </w14:solidFill>
                </w14:textFill>
              </w:rPr>
              <w:t>分；方案结构清晰，描述完整内容合理、基本满足采购需求的得</w:t>
            </w:r>
            <w:r>
              <w:rPr>
                <w:rFonts w:hint="eastAsia" w:eastAsia="方正仿宋_GBK" w:cs="Times New Roman"/>
                <w:color w:val="000000" w:themeColor="text1"/>
                <w:highlight w:val="white"/>
                <w:lang w:val="en-US" w:eastAsia="zh-CN"/>
                <w14:textFill>
                  <w14:solidFill>
                    <w14:schemeClr w14:val="tx1"/>
                  </w14:solidFill>
                </w14:textFill>
              </w:rPr>
              <w:t>2</w:t>
            </w:r>
            <w:r>
              <w:rPr>
                <w:rFonts w:ascii="Times New Roman" w:hAnsi="Times New Roman" w:eastAsia="方正仿宋_GBK" w:cs="Times New Roman"/>
                <w:color w:val="000000" w:themeColor="text1"/>
                <w:highlight w:val="white"/>
                <w14:textFill>
                  <w14:solidFill>
                    <w14:schemeClr w14:val="tx1"/>
                  </w14:solidFill>
                </w14:textFill>
              </w:rPr>
              <w:t>分；方案结构一般的得1分；没有内容或不符合招标文件要求的不得分。</w:t>
            </w:r>
          </w:p>
        </w:tc>
      </w:tr>
      <w:tr w14:paraId="716A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5083D10B">
            <w:pPr>
              <w:spacing w:line="28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253BA155">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对桥梁安全风险的技术评定</w:t>
            </w:r>
          </w:p>
        </w:tc>
        <w:tc>
          <w:tcPr>
            <w:tcW w:w="1167" w:type="dxa"/>
            <w:tcMar>
              <w:top w:w="57" w:type="dxa"/>
              <w:left w:w="57" w:type="dxa"/>
              <w:bottom w:w="57" w:type="dxa"/>
              <w:right w:w="57" w:type="dxa"/>
            </w:tcMar>
            <w:vAlign w:val="center"/>
          </w:tcPr>
          <w:p w14:paraId="1D806B25">
            <w:pPr>
              <w:spacing w:line="280" w:lineRule="exact"/>
              <w:jc w:val="center"/>
              <w:rPr>
                <w:rFonts w:eastAsia="方正仿宋_GBK"/>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4.</w:t>
            </w:r>
            <w:r>
              <w:rPr>
                <w:rFonts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077E18D3">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ascii="Times New Roman" w:hAnsi="Times New Roman" w:eastAsia="方正仿宋_GBK" w:cs="Times New Roman"/>
                <w:color w:val="000000" w:themeColor="text1"/>
                <w:highlight w:val="white"/>
                <w14:textFill>
                  <w14:solidFill>
                    <w14:schemeClr w14:val="tx1"/>
                  </w14:solidFill>
                </w14:textFill>
              </w:rPr>
              <w:t>结合本地实际情况，对</w:t>
            </w:r>
            <w:r>
              <w:rPr>
                <w:rFonts w:hint="eastAsia" w:ascii="Times New Roman" w:hAnsi="Times New Roman" w:eastAsia="方正仿宋_GBK" w:cs="Times New Roman"/>
                <w:color w:val="000000" w:themeColor="text1"/>
                <w:highlight w:val="white"/>
                <w14:textFill>
                  <w14:solidFill>
                    <w14:schemeClr w14:val="tx1"/>
                  </w14:solidFill>
                </w14:textFill>
              </w:rPr>
              <w:t>试点</w:t>
            </w:r>
            <w:r>
              <w:rPr>
                <w:rFonts w:ascii="Times New Roman" w:hAnsi="Times New Roman" w:eastAsia="方正仿宋_GBK" w:cs="Times New Roman"/>
                <w:color w:val="000000" w:themeColor="text1"/>
                <w:highlight w:val="white"/>
                <w14:textFill>
                  <w14:solidFill>
                    <w14:schemeClr w14:val="tx1"/>
                  </w14:solidFill>
                </w14:textFill>
              </w:rPr>
              <w:t>桥梁病害体的认识充分，对提供的试点桥梁特征与安全风险进行分析。要点分析清晰，描述准确、全面、完整，科学合理有针对性的得</w:t>
            </w:r>
            <w:r>
              <w:rPr>
                <w:rFonts w:hint="eastAsia" w:eastAsia="方正仿宋_GBK" w:cs="Times New Roman"/>
                <w:color w:val="000000" w:themeColor="text1"/>
                <w:highlight w:val="white"/>
                <w:lang w:val="en-US" w:eastAsia="zh-CN"/>
                <w14:textFill>
                  <w14:solidFill>
                    <w14:schemeClr w14:val="tx1"/>
                  </w14:solidFill>
                </w14:textFill>
              </w:rPr>
              <w:t>4</w:t>
            </w:r>
            <w:r>
              <w:rPr>
                <w:rFonts w:ascii="Times New Roman" w:hAnsi="Times New Roman" w:eastAsia="方正仿宋_GBK" w:cs="Times New Roman"/>
                <w:color w:val="000000" w:themeColor="text1"/>
                <w:highlight w:val="white"/>
                <w14:textFill>
                  <w14:solidFill>
                    <w14:schemeClr w14:val="tx1"/>
                  </w14:solidFill>
                </w14:textFill>
              </w:rPr>
              <w:t>分；要点分析清晰，描述完整内容合理、基本采购需求的得</w:t>
            </w:r>
            <w:r>
              <w:rPr>
                <w:rFonts w:hint="eastAsia" w:eastAsia="方正仿宋_GBK" w:cs="Times New Roman"/>
                <w:color w:val="000000" w:themeColor="text1"/>
                <w:highlight w:val="white"/>
                <w:lang w:val="en-US" w:eastAsia="zh-CN"/>
                <w14:textFill>
                  <w14:solidFill>
                    <w14:schemeClr w14:val="tx1"/>
                  </w14:solidFill>
                </w14:textFill>
              </w:rPr>
              <w:t>2</w:t>
            </w:r>
            <w:r>
              <w:rPr>
                <w:rFonts w:ascii="Times New Roman" w:hAnsi="Times New Roman" w:eastAsia="方正仿宋_GBK" w:cs="Times New Roman"/>
                <w:color w:val="000000" w:themeColor="text1"/>
                <w:highlight w:val="white"/>
                <w14:textFill>
                  <w14:solidFill>
                    <w14:schemeClr w14:val="tx1"/>
                  </w14:solidFill>
                </w14:textFill>
              </w:rPr>
              <w:t>分；要点分析一般的得1分；没有内容或不符合招标文件要求的不得分。</w:t>
            </w:r>
          </w:p>
        </w:tc>
      </w:tr>
      <w:tr w14:paraId="6E76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3C7F22AA">
            <w:pPr>
              <w:spacing w:line="28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5EDBE669">
            <w:pPr>
              <w:spacing w:line="28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售后服务方案</w:t>
            </w:r>
          </w:p>
        </w:tc>
        <w:tc>
          <w:tcPr>
            <w:tcW w:w="1167" w:type="dxa"/>
            <w:tcMar>
              <w:top w:w="57" w:type="dxa"/>
              <w:left w:w="57" w:type="dxa"/>
              <w:bottom w:w="57" w:type="dxa"/>
              <w:right w:w="57" w:type="dxa"/>
            </w:tcMar>
            <w:vAlign w:val="center"/>
          </w:tcPr>
          <w:p w14:paraId="1BEFB8D5">
            <w:pPr>
              <w:spacing w:line="280" w:lineRule="exact"/>
              <w:jc w:val="center"/>
              <w:rPr>
                <w:rFonts w:eastAsia="方正仿宋_GBK"/>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3</w:t>
            </w:r>
            <w:r>
              <w:rPr>
                <w:rFonts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0B113356">
            <w:pPr>
              <w:spacing w:line="270" w:lineRule="exact"/>
              <w:rPr>
                <w:rFonts w:ascii="Times New Roman" w:hAnsi="Times New Roman" w:eastAsia="方正仿宋_GBK" w:cs="Times New Roman"/>
                <w:color w:val="000000" w:themeColor="text1"/>
                <w:highlight w:val="white"/>
                <w14:textFill>
                  <w14:solidFill>
                    <w14:schemeClr w14:val="tx1"/>
                  </w14:solidFill>
                </w14:textFill>
              </w:rPr>
            </w:pPr>
            <w:r>
              <w:rPr>
                <w:rFonts w:hint="eastAsia" w:ascii="Times New Roman" w:hAnsi="Times New Roman" w:eastAsia="方正仿宋_GBK" w:cs="Times New Roman"/>
                <w:color w:val="000000" w:themeColor="text1"/>
                <w:highlight w:val="white"/>
                <w14:textFill>
                  <w14:solidFill>
                    <w14:schemeClr w14:val="tx1"/>
                  </w14:solidFill>
                </w14:textFill>
              </w:rPr>
              <w:t>根据投标人的售后服务方案（包括服务保障体系、响应时间和程度、紧急故障处理预案等）以及质保期外的后续技术支持等相关内容逐项进行对比打分。售后服务方案内容详细全面、条理清晰、流程规范，得</w:t>
            </w:r>
            <w:r>
              <w:rPr>
                <w:rFonts w:hint="eastAsia" w:eastAsia="方正仿宋_GBK" w:cs="Times New Roman"/>
                <w:color w:val="000000" w:themeColor="text1"/>
                <w:highlight w:val="white"/>
                <w:lang w:val="en-US" w:eastAsia="zh-CN"/>
                <w14:textFill>
                  <w14:solidFill>
                    <w14:schemeClr w14:val="tx1"/>
                  </w14:solidFill>
                </w14:textFill>
              </w:rPr>
              <w:t>3</w:t>
            </w:r>
            <w:r>
              <w:rPr>
                <w:rFonts w:hint="eastAsia" w:ascii="Times New Roman" w:hAnsi="Times New Roman" w:eastAsia="方正仿宋_GBK" w:cs="Times New Roman"/>
                <w:color w:val="000000" w:themeColor="text1"/>
                <w:highlight w:val="white"/>
                <w14:textFill>
                  <w14:solidFill>
                    <w14:schemeClr w14:val="tx1"/>
                  </w14:solidFill>
                </w14:textFill>
              </w:rPr>
              <w:t>分；售后服务方案内容粗略、条理性牵强、流程规范性欠缺，通过后期优化满足招标文件要求的，得</w:t>
            </w:r>
            <w:r>
              <w:rPr>
                <w:rFonts w:hint="eastAsia" w:eastAsia="方正仿宋_GBK" w:cs="Times New Roman"/>
                <w:color w:val="000000" w:themeColor="text1"/>
                <w:highlight w:val="white"/>
                <w:lang w:val="en-US" w:eastAsia="zh-CN"/>
                <w14:textFill>
                  <w14:solidFill>
                    <w14:schemeClr w14:val="tx1"/>
                  </w14:solidFill>
                </w14:textFill>
              </w:rPr>
              <w:t>1</w:t>
            </w:r>
            <w:r>
              <w:rPr>
                <w:rFonts w:hint="eastAsia" w:ascii="Times New Roman" w:hAnsi="Times New Roman" w:eastAsia="方正仿宋_GBK" w:cs="Times New Roman"/>
                <w:color w:val="000000" w:themeColor="text1"/>
                <w:highlight w:val="white"/>
                <w14:textFill>
                  <w14:solidFill>
                    <w14:schemeClr w14:val="tx1"/>
                  </w14:solidFill>
                </w14:textFill>
              </w:rPr>
              <w:t>分；没有内容或不符合招标文件要求的不得分。</w:t>
            </w:r>
          </w:p>
        </w:tc>
      </w:tr>
      <w:tr w14:paraId="5428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tcMar>
              <w:top w:w="57" w:type="dxa"/>
              <w:left w:w="57" w:type="dxa"/>
              <w:bottom w:w="57" w:type="dxa"/>
              <w:right w:w="57" w:type="dxa"/>
            </w:tcMar>
            <w:vAlign w:val="center"/>
          </w:tcPr>
          <w:p w14:paraId="32593E13">
            <w:pPr>
              <w:spacing w:line="240" w:lineRule="exact"/>
              <w:jc w:val="center"/>
              <w:rPr>
                <w:rFonts w:eastAsia="方正仿宋_GBK"/>
                <w:color w:val="000000" w:themeColor="text1"/>
                <w:highlight w:val="white"/>
                <w14:textFill>
                  <w14:solidFill>
                    <w14:schemeClr w14:val="tx1"/>
                  </w14:solidFill>
                </w14:textFill>
              </w:rPr>
            </w:pPr>
          </w:p>
        </w:tc>
        <w:tc>
          <w:tcPr>
            <w:tcW w:w="1240" w:type="dxa"/>
            <w:tcMar>
              <w:top w:w="57" w:type="dxa"/>
              <w:left w:w="57" w:type="dxa"/>
              <w:bottom w:w="57" w:type="dxa"/>
              <w:right w:w="57" w:type="dxa"/>
            </w:tcMar>
            <w:vAlign w:val="center"/>
          </w:tcPr>
          <w:p w14:paraId="32E10F1E">
            <w:pPr>
              <w:spacing w:line="24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安全保障</w:t>
            </w:r>
          </w:p>
          <w:p w14:paraId="27D12BAB">
            <w:pPr>
              <w:spacing w:line="240" w:lineRule="exact"/>
              <w:jc w:val="center"/>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方案</w:t>
            </w:r>
          </w:p>
        </w:tc>
        <w:tc>
          <w:tcPr>
            <w:tcW w:w="1167" w:type="dxa"/>
            <w:tcMar>
              <w:top w:w="57" w:type="dxa"/>
              <w:left w:w="57" w:type="dxa"/>
              <w:bottom w:w="57" w:type="dxa"/>
              <w:right w:w="57" w:type="dxa"/>
            </w:tcMar>
            <w:vAlign w:val="center"/>
          </w:tcPr>
          <w:p w14:paraId="7ACD9150">
            <w:pPr>
              <w:spacing w:line="240" w:lineRule="exact"/>
              <w:jc w:val="center"/>
              <w:rPr>
                <w:rFonts w:eastAsia="方正仿宋_GBK"/>
                <w:color w:val="000000" w:themeColor="text1"/>
                <w:highlight w:val="white"/>
                <w14:textFill>
                  <w14:solidFill>
                    <w14:schemeClr w14:val="tx1"/>
                  </w14:solidFill>
                </w14:textFill>
              </w:rPr>
            </w:pPr>
            <w:r>
              <w:rPr>
                <w:rFonts w:hint="eastAsia" w:eastAsia="方正仿宋_GBK"/>
                <w:color w:val="000000" w:themeColor="text1"/>
                <w:highlight w:val="white"/>
                <w:lang w:val="en-US" w:eastAsia="zh-CN"/>
                <w14:textFill>
                  <w14:solidFill>
                    <w14:schemeClr w14:val="tx1"/>
                  </w14:solidFill>
                </w14:textFill>
              </w:rPr>
              <w:t>4</w:t>
            </w:r>
            <w:r>
              <w:rPr>
                <w:rFonts w:eastAsia="方正仿宋_GBK"/>
                <w:color w:val="000000" w:themeColor="text1"/>
                <w:highlight w:val="white"/>
                <w14:textFill>
                  <w14:solidFill>
                    <w14:schemeClr w14:val="tx1"/>
                  </w14:solidFill>
                </w14:textFill>
              </w:rPr>
              <w:t>.00分</w:t>
            </w:r>
          </w:p>
        </w:tc>
        <w:tc>
          <w:tcPr>
            <w:tcW w:w="5458" w:type="dxa"/>
            <w:tcMar>
              <w:top w:w="57" w:type="dxa"/>
              <w:left w:w="57" w:type="dxa"/>
              <w:bottom w:w="57" w:type="dxa"/>
              <w:right w:w="57" w:type="dxa"/>
            </w:tcMar>
            <w:vAlign w:val="center"/>
          </w:tcPr>
          <w:p w14:paraId="6F235005">
            <w:pPr>
              <w:spacing w:line="240" w:lineRule="exact"/>
              <w:rPr>
                <w:rFonts w:eastAsia="方正仿宋_GBK"/>
                <w:color w:val="000000" w:themeColor="text1"/>
                <w:highlight w:val="white"/>
                <w14:textFill>
                  <w14:solidFill>
                    <w14:schemeClr w14:val="tx1"/>
                  </w14:solidFill>
                </w14:textFill>
              </w:rPr>
            </w:pPr>
            <w:r>
              <w:rPr>
                <w:rFonts w:eastAsia="方正仿宋_GBK"/>
                <w:color w:val="000000" w:themeColor="text1"/>
                <w:highlight w:val="white"/>
                <w14:textFill>
                  <w14:solidFill>
                    <w14:schemeClr w14:val="tx1"/>
                  </w14:solidFill>
                </w14:textFill>
              </w:rPr>
              <w:t>投标人提供的安全保障方案等进行评分，对重点位置，安全隐患，提出安全保障方案及应急方案，方案详细、完整且优于采购需求，得</w:t>
            </w:r>
            <w:r>
              <w:rPr>
                <w:rFonts w:hint="eastAsia" w:eastAsia="方正仿宋_GBK"/>
                <w:color w:val="000000" w:themeColor="text1"/>
                <w:highlight w:val="white"/>
                <w:lang w:val="en-US" w:eastAsia="zh-CN"/>
                <w14:textFill>
                  <w14:solidFill>
                    <w14:schemeClr w14:val="tx1"/>
                  </w14:solidFill>
                </w14:textFill>
              </w:rPr>
              <w:t>4</w:t>
            </w:r>
            <w:r>
              <w:rPr>
                <w:rFonts w:eastAsia="方正仿宋_GBK"/>
                <w:color w:val="000000" w:themeColor="text1"/>
                <w:highlight w:val="white"/>
                <w14:textFill>
                  <w14:solidFill>
                    <w14:schemeClr w14:val="tx1"/>
                  </w14:solidFill>
                </w14:textFill>
              </w:rPr>
              <w:t>分；方案详细，能保障项目稳定运行的，能够满足采购需求，得2分；方案笼统缺乏有效保障措施，经过优化可实现采购需求，得1分；没有内容或其情况不满足招标文件需求的不得分。</w:t>
            </w:r>
          </w:p>
        </w:tc>
      </w:tr>
    </w:tbl>
    <w:p w14:paraId="3A418625">
      <w:pPr>
        <w:rPr>
          <w:rFonts w:eastAsia="方正仿宋_GBK"/>
          <w:color w:val="000000" w:themeColor="text1"/>
          <w:highlight w:val="red"/>
          <w14:textFill>
            <w14:solidFill>
              <w14:schemeClr w14:val="tx1"/>
            </w14:solidFill>
          </w14:textFill>
        </w:rPr>
      </w:pPr>
    </w:p>
    <w:p w14:paraId="1C937047">
      <w:pPr>
        <w:spacing w:line="400" w:lineRule="exact"/>
        <w:ind w:firstLine="482"/>
        <w:rPr>
          <w:rFonts w:eastAsia="方正仿宋_GBK"/>
          <w:color w:val="000000" w:themeColor="text1"/>
          <w:sz w:val="24"/>
          <w:highlight w:val="white"/>
          <w14:textFill>
            <w14:solidFill>
              <w14:schemeClr w14:val="tx1"/>
            </w14:solidFill>
          </w14:textFill>
        </w:rPr>
      </w:pPr>
      <w:r>
        <w:rPr>
          <w:rFonts w:eastAsia="方正仿宋_GBK"/>
          <w:b/>
          <w:color w:val="000000" w:themeColor="text1"/>
          <w:sz w:val="24"/>
          <w:highlight w:val="white"/>
          <w14:textFill>
            <w14:solidFill>
              <w14:schemeClr w14:val="tx1"/>
            </w14:solidFill>
          </w14:textFill>
        </w:rPr>
        <w:t>（三）评标结果。</w:t>
      </w:r>
      <w:r>
        <w:rPr>
          <w:rFonts w:eastAsia="方正仿宋_GBK"/>
          <w:color w:val="000000" w:themeColor="text1"/>
          <w:sz w:val="24"/>
          <w:highlight w:val="white"/>
          <w14:textFill>
            <w14:solidFill>
              <w14:schemeClr w14:val="tx1"/>
            </w14:solidFill>
          </w14:textFill>
        </w:rPr>
        <w:t>评标委员会按照本办法规定推荐中标候选人，并形成评标报告。</w:t>
      </w:r>
    </w:p>
    <w:p w14:paraId="1EECA84B">
      <w:pPr>
        <w:spacing w:line="400" w:lineRule="exact"/>
        <w:ind w:firstLine="482"/>
        <w:rPr>
          <w:rFonts w:eastAsia="方正仿宋_GBK"/>
          <w:b/>
          <w:color w:val="000000" w:themeColor="text1"/>
          <w:sz w:val="24"/>
          <w:highlight w:val="white"/>
          <w14:textFill>
            <w14:solidFill>
              <w14:schemeClr w14:val="tx1"/>
            </w14:solidFill>
          </w14:textFill>
        </w:rPr>
      </w:pPr>
      <w:r>
        <w:rPr>
          <w:rFonts w:eastAsia="方正仿宋_GBK"/>
          <w:b/>
          <w:color w:val="000000" w:themeColor="text1"/>
          <w:sz w:val="24"/>
          <w:highlight w:val="white"/>
          <w14:textFill>
            <w14:solidFill>
              <w14:schemeClr w14:val="tx1"/>
            </w14:solidFill>
          </w14:textFill>
        </w:rPr>
        <w:t>（四）政府采购政策功能落实</w:t>
      </w:r>
    </w:p>
    <w:p w14:paraId="45C07C5D">
      <w:pPr>
        <w:spacing w:line="500" w:lineRule="exact"/>
        <w:ind w:firstLine="482"/>
        <w:rPr>
          <w:rFonts w:eastAsia="方正仿宋_GBK"/>
          <w:b/>
          <w:color w:val="000000" w:themeColor="text1"/>
          <w:sz w:val="24"/>
          <w:highlight w:val="white"/>
          <w14:textFill>
            <w14:solidFill>
              <w14:schemeClr w14:val="tx1"/>
            </w14:solidFill>
          </w14:textFill>
        </w:rPr>
      </w:pPr>
      <w:r>
        <w:rPr>
          <w:rFonts w:eastAsia="方正仿宋_GBK"/>
          <w:b/>
          <w:bCs/>
          <w:color w:val="000000" w:themeColor="text1"/>
          <w:sz w:val="24"/>
          <w:highlight w:val="white"/>
          <w14:textFill>
            <w14:solidFill>
              <w14:schemeClr w14:val="tx1"/>
            </w14:solidFill>
          </w14:textFill>
        </w:rPr>
        <w:t>本项目落实的政府采购政策对应以下序号为</w:t>
      </w:r>
      <w:r>
        <w:rPr>
          <w:rFonts w:eastAsia="方正仿宋_GBK"/>
          <w:b/>
          <w:bCs/>
          <w:color w:val="000000" w:themeColor="text1"/>
          <w:sz w:val="24"/>
          <w:u w:val="single"/>
          <w14:textFill>
            <w14:solidFill>
              <w14:schemeClr w14:val="tx1"/>
            </w14:solidFill>
          </w14:textFill>
        </w:rPr>
        <w:t xml:space="preserve"> 1、2、3、4  </w:t>
      </w:r>
    </w:p>
    <w:p w14:paraId="45ADAD58">
      <w:pPr>
        <w:numPr>
          <w:ilvl w:val="0"/>
          <w:numId w:val="10"/>
        </w:num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采购本国货物、工程和服务</w:t>
      </w:r>
    </w:p>
    <w:p w14:paraId="0AE9CA71">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0C5CD991">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2、中小企业政策</w:t>
      </w:r>
    </w:p>
    <w:p w14:paraId="224766C7">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本项目按以下第</w:t>
      </w:r>
      <w:r>
        <w:rPr>
          <w:rFonts w:hint="eastAsia" w:eastAsia="方正仿宋_GBK"/>
          <w:color w:val="000000" w:themeColor="text1"/>
          <w:sz w:val="24"/>
          <w:highlight w:val="white"/>
          <w:u w:val="single"/>
          <w14:textFill>
            <w14:solidFill>
              <w14:schemeClr w14:val="tx1"/>
            </w14:solidFill>
          </w14:textFill>
        </w:rPr>
        <w:t>（</w:t>
      </w:r>
      <w:r>
        <w:rPr>
          <w:rFonts w:hint="eastAsia" w:eastAsia="方正仿宋_GBK"/>
          <w:color w:val="000000" w:themeColor="text1"/>
          <w:sz w:val="24"/>
          <w:highlight w:val="white"/>
          <w:u w:val="single"/>
          <w:lang w:val="en-US" w:eastAsia="zh-CN"/>
          <w14:textFill>
            <w14:solidFill>
              <w14:schemeClr w14:val="tx1"/>
            </w14:solidFill>
          </w14:textFill>
        </w:rPr>
        <w:t>2</w:t>
      </w:r>
      <w:r>
        <w:rPr>
          <w:rFonts w:hint="eastAsia" w:eastAsia="方正仿宋_GBK"/>
          <w:color w:val="000000" w:themeColor="text1"/>
          <w:sz w:val="24"/>
          <w:highlight w:val="white"/>
          <w:u w:val="single"/>
          <w14:textFill>
            <w14:solidFill>
              <w14:schemeClr w14:val="tx1"/>
            </w14:solidFill>
          </w14:textFill>
        </w:rPr>
        <w:t>）</w:t>
      </w:r>
      <w:r>
        <w:rPr>
          <w:rFonts w:eastAsia="方正仿宋_GBK"/>
          <w:color w:val="000000" w:themeColor="text1"/>
          <w:sz w:val="24"/>
          <w:highlight w:val="white"/>
          <w14:textFill>
            <w14:solidFill>
              <w14:schemeClr w14:val="tx1"/>
            </w14:solidFill>
          </w14:textFill>
        </w:rPr>
        <w:t>种政策确定本项目落实的中小企业政策：</w:t>
      </w:r>
    </w:p>
    <w:p w14:paraId="1BA8EDAB">
      <w:pPr>
        <w:spacing w:line="44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（1）本项目专门面向中小企业（含监狱企业、残疾人福利企业）采购。</w:t>
      </w:r>
    </w:p>
    <w:p w14:paraId="2C4E6ADE">
      <w:pPr>
        <w:spacing w:line="44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（2）投标人提供的货物符合下列情形的，对小微企业报价给予</w:t>
      </w:r>
      <w:r>
        <w:rPr>
          <w:rFonts w:hint="eastAsia" w:eastAsia="方正仿宋_GBK"/>
          <w:color w:val="000000" w:themeColor="text1"/>
          <w:sz w:val="24"/>
          <w:highlight w:val="white"/>
          <w:u w:val="single"/>
          <w:lang w:val="en-US" w:eastAsia="zh-CN"/>
          <w14:textFill>
            <w14:solidFill>
              <w14:schemeClr w14:val="tx1"/>
            </w14:solidFill>
          </w14:textFill>
        </w:rPr>
        <w:t>10</w:t>
      </w:r>
      <w:r>
        <w:rPr>
          <w:rFonts w:hint="eastAsia" w:eastAsia="方正仿宋_GBK"/>
          <w:color w:val="000000" w:themeColor="text1"/>
          <w:sz w:val="24"/>
          <w:highlight w:val="white"/>
          <w:lang w:val="en-US" w:eastAsia="zh-CN"/>
          <w14:textFill>
            <w14:solidFill>
              <w14:schemeClr w14:val="tx1"/>
            </w14:solidFill>
          </w14:textFill>
        </w:rPr>
        <w:t>%</w:t>
      </w:r>
      <w:r>
        <w:rPr>
          <w:rFonts w:eastAsia="方正仿宋_GBK"/>
          <w:color w:val="000000" w:themeColor="text1"/>
          <w:sz w:val="24"/>
          <w:highlight w:val="white"/>
          <w14:textFill>
            <w14:solidFill>
              <w14:schemeClr w14:val="tx1"/>
            </w14:solidFill>
          </w14:textFill>
        </w:rPr>
        <w:t>的扣除，用扣除后的价格参加</w:t>
      </w:r>
    </w:p>
    <w:p w14:paraId="22322E5C">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注：①参加投标的中小企业，应当按照《政府采购促进中小企业发展管理办法》（财库〔2020〕46号）规定，出具《中小企业声明函》，中小企业划型依据《关于印发中小企业划型标准规定的通知》（工信部联企业〔2011〕300 号）。</w:t>
      </w:r>
    </w:p>
    <w:p w14:paraId="59209AC9">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②参加投标的监狱企业，视同小型、微型企业。监狱企业应当按照《财政部 司法部关于政府采购支持监狱企业发展有关问题的通知》（财库〔2014〕68号）的规定，提供由省级以上监狱管理局、戒毒管理局</w:t>
      </w:r>
      <w:r>
        <w:rPr>
          <w:rFonts w:hint="eastAsia" w:eastAsia="方正仿宋_GBK"/>
          <w:color w:val="000000" w:themeColor="text1"/>
          <w:sz w:val="24"/>
          <w:highlight w:val="white"/>
          <w14:textFill>
            <w14:solidFill>
              <w14:schemeClr w14:val="tx1"/>
            </w14:solidFill>
          </w14:textFill>
        </w:rPr>
        <w:t>（</w:t>
      </w:r>
      <w:r>
        <w:rPr>
          <w:rFonts w:eastAsia="方正仿宋_GBK"/>
          <w:color w:val="000000" w:themeColor="text1"/>
          <w:sz w:val="24"/>
          <w:highlight w:val="white"/>
          <w14:textFill>
            <w14:solidFill>
              <w14:schemeClr w14:val="tx1"/>
            </w14:solidFill>
          </w14:textFill>
        </w:rPr>
        <w:t>含新疆生产建设兵团</w:t>
      </w:r>
      <w:r>
        <w:rPr>
          <w:rFonts w:hint="eastAsia" w:eastAsia="方正仿宋_GBK"/>
          <w:color w:val="000000" w:themeColor="text1"/>
          <w:sz w:val="24"/>
          <w:highlight w:val="white"/>
          <w14:textFill>
            <w14:solidFill>
              <w14:schemeClr w14:val="tx1"/>
            </w14:solidFill>
          </w14:textFill>
        </w:rPr>
        <w:t>）</w:t>
      </w:r>
      <w:r>
        <w:rPr>
          <w:rFonts w:eastAsia="方正仿宋_GBK"/>
          <w:color w:val="000000" w:themeColor="text1"/>
          <w:sz w:val="24"/>
          <w:highlight w:val="white"/>
          <w14:textFill>
            <w14:solidFill>
              <w14:schemeClr w14:val="tx1"/>
            </w14:solidFill>
          </w14:textFill>
        </w:rPr>
        <w:t>出具的属于监狱企业的证明文件（投标文件中上传加盖出具单位公章的电子件）。</w:t>
      </w:r>
    </w:p>
    <w:p w14:paraId="20B5BC74">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1C9CB34B">
      <w:pPr>
        <w:spacing w:line="460" w:lineRule="exact"/>
        <w:ind w:firstLine="480"/>
        <w:rPr>
          <w:rFonts w:eastAsia="方正仿宋_GBK"/>
          <w:color w:val="000000" w:themeColor="text1"/>
          <w:sz w:val="24"/>
          <w:highlight w:val="white"/>
          <w14:textFill>
            <w14:solidFill>
              <w14:schemeClr w14:val="tx1"/>
            </w14:solidFill>
          </w14:textFill>
        </w:rPr>
      </w:pPr>
      <w:r>
        <w:rPr>
          <w:rFonts w:hint="eastAsia" w:eastAsia="方正仿宋_GBK"/>
          <w:color w:val="000000" w:themeColor="text1"/>
          <w:sz w:val="24"/>
          <w:highlight w:val="white"/>
          <w14:textFill>
            <w14:solidFill>
              <w14:schemeClr w14:val="tx1"/>
            </w14:solidFill>
          </w14:textFill>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投标人须知”、“采购需求”相关内容为准。）</w:t>
      </w:r>
    </w:p>
    <w:p w14:paraId="77D739F9">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3、政府采购节能产品、环境标志产品</w:t>
      </w:r>
    </w:p>
    <w:p w14:paraId="72F83584">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803A6D6">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（2）采购人拟采购的产品属于政府强制采购的节能产品品目清单范围的，投标人须提供国家确定的认证机构出具的、处于有效期之内的节能产品认证证书的，否则无效标处理。</w:t>
      </w:r>
    </w:p>
    <w:p w14:paraId="4E1EBF3B">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（3）采购人拟采购的产品属于优先采购的节能环保品目清单范围的，按以下条件优先采购：</w:t>
      </w:r>
    </w:p>
    <w:p w14:paraId="706A4E48">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采用综合评分法的项目，对提供有效节能环保证书的投标人加分。</w:t>
      </w:r>
    </w:p>
    <w:p w14:paraId="7CB0D7EC">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采用最低评标价法的项目，同等条件下优先推荐提供有效节能环保证书多的投标人为中标人。</w:t>
      </w:r>
    </w:p>
    <w:p w14:paraId="21E07E4A">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4、商品包装、快递包装政府采购需求标准（试行）</w:t>
      </w:r>
    </w:p>
    <w:p w14:paraId="55B066E9">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0AD079B9">
      <w:pPr>
        <w:spacing w:line="460" w:lineRule="exact"/>
        <w:ind w:firstLine="480"/>
        <w:rPr>
          <w:rFonts w:eastAsia="方正仿宋_GBK"/>
          <w:color w:val="000000" w:themeColor="text1"/>
          <w:sz w:val="24"/>
          <w:highlight w:val="white"/>
          <w14:textFill>
            <w14:solidFill>
              <w14:schemeClr w14:val="tx1"/>
            </w14:solidFill>
          </w14:textFill>
        </w:rPr>
      </w:pPr>
      <w:r>
        <w:rPr>
          <w:rFonts w:eastAsia="方正仿宋_GBK"/>
          <w:color w:val="000000" w:themeColor="text1"/>
          <w:sz w:val="24"/>
          <w:highlight w:val="white"/>
          <w14:textFill>
            <w14:solidFill>
              <w14:schemeClr w14:val="tx1"/>
            </w14:solidFill>
          </w14:textFill>
        </w:rPr>
        <w:t>5、绿色数据中心政府采购需求标准（试行）</w:t>
      </w:r>
    </w:p>
    <w:p w14:paraId="6A5982EF">
      <w:pPr>
        <w:spacing w:line="460" w:lineRule="exact"/>
        <w:ind w:firstLine="480"/>
        <w:rPr>
          <w:rFonts w:eastAsia="方正仿宋_GBK"/>
          <w:color w:val="000000" w:themeColor="text1"/>
          <w14:textFill>
            <w14:solidFill>
              <w14:schemeClr w14:val="tx1"/>
            </w14:solidFill>
          </w14:textFill>
        </w:rPr>
      </w:pPr>
      <w:r>
        <w:rPr>
          <w:rFonts w:eastAsia="方正仿宋_GBK"/>
          <w:color w:val="000000" w:themeColor="text1"/>
          <w:sz w:val="24"/>
          <w:highlight w:val="white"/>
          <w14:textFill>
            <w14:solidFill>
              <w14:schemeClr w14:val="tx1"/>
            </w14:solidFill>
          </w14:textFill>
        </w:rPr>
        <w:t>为加快数据中心绿色转型，根据财政部 生态环境部 工业和信息化部关于印发《绿色数据中心政府采购需求标准（试行）》的通知），本项目如涉及绿色数据中心，具体需求详见第四章采购需求。</w:t>
      </w:r>
    </w:p>
    <w:p w14:paraId="25B8984B">
      <w:pPr>
        <w:rPr>
          <w:rFonts w:eastAsia="方正仿宋_GBK"/>
          <w:color w:val="000000" w:themeColor="text1"/>
          <w14:textFill>
            <w14:solidFill>
              <w14:schemeClr w14:val="tx1"/>
            </w14:solidFill>
          </w14:textFill>
        </w:rPr>
      </w:pPr>
    </w:p>
    <w:p w14:paraId="4C9FB99A">
      <w:pPr>
        <w:rPr>
          <w:rFonts w:eastAsia="方正仿宋_GBK"/>
          <w:color w:val="000000" w:themeColor="text1"/>
          <w14:textFill>
            <w14:solidFill>
              <w14:schemeClr w14:val="tx1"/>
            </w14:solidFill>
          </w14:textFill>
        </w:rPr>
      </w:pPr>
    </w:p>
    <w:p w14:paraId="10DE8081">
      <w:pPr>
        <w:rPr>
          <w:rFonts w:eastAsia="方正仿宋_GBK"/>
          <w:color w:val="000000" w:themeColor="text1"/>
          <w14:textFill>
            <w14:solidFill>
              <w14:schemeClr w14:val="tx1"/>
            </w14:solidFill>
          </w14:textFill>
        </w:rPr>
      </w:pPr>
    </w:p>
    <w:p w14:paraId="0EDB4306">
      <w:pPr>
        <w:rPr>
          <w:rFonts w:eastAsia="方正仿宋_GBK"/>
          <w:color w:val="000000" w:themeColor="text1"/>
          <w14:textFill>
            <w14:solidFill>
              <w14:schemeClr w14:val="tx1"/>
            </w14:solidFill>
          </w14:textFill>
        </w:rPr>
      </w:pPr>
    </w:p>
    <w:p w14:paraId="205CA56E">
      <w:pPr>
        <w:rPr>
          <w:rFonts w:eastAsia="方正仿宋_GBK"/>
          <w:color w:val="000000" w:themeColor="text1"/>
          <w14:textFill>
            <w14:solidFill>
              <w14:schemeClr w14:val="tx1"/>
            </w14:solidFill>
          </w14:textFill>
        </w:rPr>
      </w:pPr>
    </w:p>
    <w:p w14:paraId="6DCA0EB8">
      <w:pPr>
        <w:rPr>
          <w:rFonts w:eastAsia="方正仿宋_GBK"/>
          <w:color w:val="000000" w:themeColor="text1"/>
          <w14:textFill>
            <w14:solidFill>
              <w14:schemeClr w14:val="tx1"/>
            </w14:solidFill>
          </w14:textFill>
        </w:rPr>
      </w:pPr>
    </w:p>
    <w:p w14:paraId="038B27CA">
      <w:pPr>
        <w:rPr>
          <w:rFonts w:eastAsia="方正仿宋_GBK"/>
          <w:color w:val="000000" w:themeColor="text1"/>
          <w14:textFill>
            <w14:solidFill>
              <w14:schemeClr w14:val="tx1"/>
            </w14:solidFill>
          </w14:textFill>
        </w:rPr>
      </w:pPr>
    </w:p>
    <w:p w14:paraId="4551F546">
      <w:pPr>
        <w:rPr>
          <w:rFonts w:eastAsia="方正仿宋_GBK"/>
          <w:color w:val="000000" w:themeColor="text1"/>
          <w14:textFill>
            <w14:solidFill>
              <w14:schemeClr w14:val="tx1"/>
            </w14:solidFill>
          </w14:textFill>
        </w:rPr>
      </w:pPr>
    </w:p>
    <w:p w14:paraId="75DCD747">
      <w:pPr>
        <w:pStyle w:val="38"/>
        <w:rPr>
          <w:rFonts w:ascii="Times New Roman" w:hAnsi="Times New Roman" w:eastAsia="方正仿宋_GBK"/>
          <w:color w:val="000000" w:themeColor="text1"/>
          <w14:textFill>
            <w14:solidFill>
              <w14:schemeClr w14:val="tx1"/>
            </w14:solidFill>
          </w14:textFill>
        </w:rPr>
      </w:pPr>
    </w:p>
    <w:p w14:paraId="6DEE8A5F">
      <w:pPr>
        <w:pStyle w:val="38"/>
        <w:rPr>
          <w:rFonts w:ascii="Times New Roman" w:hAnsi="Times New Roman" w:eastAsia="方正仿宋_GBK"/>
          <w:color w:val="000000" w:themeColor="text1"/>
          <w14:textFill>
            <w14:solidFill>
              <w14:schemeClr w14:val="tx1"/>
            </w14:solidFill>
          </w14:textFill>
        </w:rPr>
      </w:pPr>
    </w:p>
    <w:p w14:paraId="6ED5C6E2">
      <w:pPr>
        <w:pStyle w:val="38"/>
        <w:rPr>
          <w:rFonts w:ascii="Times New Roman" w:hAnsi="Times New Roman" w:eastAsia="方正仿宋_GBK"/>
          <w:color w:val="000000" w:themeColor="text1"/>
          <w14:textFill>
            <w14:solidFill>
              <w14:schemeClr w14:val="tx1"/>
            </w14:solidFill>
          </w14:textFill>
        </w:rPr>
      </w:pPr>
    </w:p>
    <w:p w14:paraId="66EBD92C">
      <w:pPr>
        <w:pStyle w:val="38"/>
        <w:rPr>
          <w:rFonts w:ascii="Times New Roman" w:hAnsi="Times New Roman" w:eastAsia="方正仿宋_GBK"/>
          <w:color w:val="000000" w:themeColor="text1"/>
          <w14:textFill>
            <w14:solidFill>
              <w14:schemeClr w14:val="tx1"/>
            </w14:solidFill>
          </w14:textFill>
        </w:rPr>
      </w:pPr>
    </w:p>
    <w:p w14:paraId="4E7FD89B">
      <w:pPr>
        <w:rPr>
          <w:color w:val="000000" w:themeColor="text1"/>
          <w14:textFill>
            <w14:solidFill>
              <w14:schemeClr w14:val="tx1"/>
            </w14:solidFill>
          </w14:textFill>
        </w:rPr>
      </w:pPr>
    </w:p>
    <w:p w14:paraId="73C2062C">
      <w:pPr>
        <w:pStyle w:val="187"/>
        <w:keepNext w:val="0"/>
        <w:rPr>
          <w:rFonts w:ascii="Times New Roman" w:eastAsia="方正黑体_GBK"/>
          <w:bCs/>
          <w:color w:val="000000" w:themeColor="text1"/>
          <w:sz w:val="44"/>
          <w14:textFill>
            <w14:solidFill>
              <w14:schemeClr w14:val="tx1"/>
            </w14:solidFill>
          </w14:textFill>
        </w:rPr>
      </w:pPr>
      <w:r>
        <w:rPr>
          <w:rFonts w:ascii="Times New Roman" w:eastAsia="方正黑体_GBK"/>
          <w:bCs/>
          <w:color w:val="000000" w:themeColor="text1"/>
          <w:sz w:val="44"/>
          <w14:textFill>
            <w14:solidFill>
              <w14:schemeClr w14:val="tx1"/>
            </w14:solidFill>
          </w14:textFill>
        </w:rPr>
        <w:t>第六章  投标</w:t>
      </w:r>
      <w:bookmarkEnd w:id="213"/>
      <w:bookmarkEnd w:id="214"/>
      <w:bookmarkEnd w:id="215"/>
      <w:r>
        <w:rPr>
          <w:rFonts w:ascii="Times New Roman" w:eastAsia="方正黑体_GBK"/>
          <w:bCs/>
          <w:color w:val="000000" w:themeColor="text1"/>
          <w:sz w:val="44"/>
          <w14:textFill>
            <w14:solidFill>
              <w14:schemeClr w14:val="tx1"/>
            </w14:solidFill>
          </w14:textFill>
        </w:rPr>
        <w:t xml:space="preserve">文件格式 </w:t>
      </w:r>
    </w:p>
    <w:p w14:paraId="01D4A2C7">
      <w:pPr>
        <w:jc w:val="center"/>
        <w:rPr>
          <w:rFonts w:eastAsia="方正仿宋_GBK"/>
          <w:b/>
          <w:color w:val="000000" w:themeColor="text1"/>
          <w:sz w:val="72"/>
          <w14:textFill>
            <w14:solidFill>
              <w14:schemeClr w14:val="tx1"/>
            </w14:solidFill>
          </w14:textFill>
        </w:rPr>
      </w:pPr>
      <w:bookmarkStart w:id="222" w:name="_Hlt26671244"/>
      <w:bookmarkEnd w:id="222"/>
      <w:bookmarkStart w:id="223" w:name="_Hlt26955039"/>
      <w:bookmarkEnd w:id="223"/>
      <w:bookmarkStart w:id="224" w:name="_Toc49090576"/>
      <w:bookmarkStart w:id="225" w:name="_Toc26554094"/>
      <w:bookmarkStart w:id="226" w:name="_Toc120614282"/>
    </w:p>
    <w:p w14:paraId="1798AC90">
      <w:pPr>
        <w:jc w:val="center"/>
        <w:rPr>
          <w:rFonts w:eastAsia="方正仿宋_GBK"/>
          <w:b/>
          <w:color w:val="000000" w:themeColor="text1"/>
          <w:sz w:val="72"/>
          <w14:textFill>
            <w14:solidFill>
              <w14:schemeClr w14:val="tx1"/>
            </w14:solidFill>
          </w14:textFill>
        </w:rPr>
      </w:pPr>
      <w:r>
        <w:rPr>
          <w:rFonts w:eastAsia="方正仿宋_GBK"/>
          <w:b/>
          <w:color w:val="000000" w:themeColor="text1"/>
          <w:sz w:val="72"/>
          <w14:textFill>
            <w14:solidFill>
              <w14:schemeClr w14:val="tx1"/>
            </w14:solidFill>
          </w14:textFill>
        </w:rPr>
        <w:t>投  标  文  件</w:t>
      </w:r>
    </w:p>
    <w:p w14:paraId="7FDD4AE2">
      <w:pPr>
        <w:jc w:val="center"/>
        <w:rPr>
          <w:rFonts w:eastAsia="方正仿宋_GBK"/>
          <w:b/>
          <w:color w:val="000000" w:themeColor="text1"/>
          <w:sz w:val="72"/>
          <w14:textFill>
            <w14:solidFill>
              <w14:schemeClr w14:val="tx1"/>
            </w14:solidFill>
          </w14:textFill>
        </w:rPr>
      </w:pPr>
    </w:p>
    <w:p w14:paraId="0AAB41D3">
      <w:pPr>
        <w:jc w:val="center"/>
        <w:rPr>
          <w:rFonts w:eastAsia="方正仿宋_GBK"/>
          <w:b/>
          <w:color w:val="000000" w:themeColor="text1"/>
          <w:sz w:val="72"/>
          <w14:textFill>
            <w14:solidFill>
              <w14:schemeClr w14:val="tx1"/>
            </w14:solidFill>
          </w14:textFill>
        </w:rPr>
      </w:pPr>
    </w:p>
    <w:p w14:paraId="515FA9CD">
      <w:pPr>
        <w:jc w:val="center"/>
        <w:rPr>
          <w:rFonts w:eastAsia="方正仿宋_GBK"/>
          <w:b/>
          <w:color w:val="000000" w:themeColor="text1"/>
          <w:sz w:val="36"/>
          <w14:textFill>
            <w14:solidFill>
              <w14:schemeClr w14:val="tx1"/>
            </w14:solidFill>
          </w14:textFill>
        </w:rPr>
      </w:pPr>
    </w:p>
    <w:p w14:paraId="0A0D61F2">
      <w:pPr>
        <w:jc w:val="center"/>
        <w:rPr>
          <w:rFonts w:eastAsia="方正仿宋_GBK"/>
          <w:b/>
          <w:color w:val="000000" w:themeColor="text1"/>
          <w:sz w:val="36"/>
          <w14:textFill>
            <w14:solidFill>
              <w14:schemeClr w14:val="tx1"/>
            </w14:solidFill>
          </w14:textFill>
        </w:rPr>
      </w:pPr>
    </w:p>
    <w:p w14:paraId="00857A3A">
      <w:pPr>
        <w:jc w:val="center"/>
        <w:rPr>
          <w:rFonts w:eastAsia="方正仿宋_GBK"/>
          <w:b/>
          <w:color w:val="000000" w:themeColor="text1"/>
          <w:sz w:val="36"/>
          <w14:textFill>
            <w14:solidFill>
              <w14:schemeClr w14:val="tx1"/>
            </w14:solidFill>
          </w14:textFill>
        </w:rPr>
      </w:pPr>
    </w:p>
    <w:p w14:paraId="42DB0DDB">
      <w:pPr>
        <w:ind w:firstLine="1084"/>
        <w:rPr>
          <w:rFonts w:eastAsia="方正仿宋_GBK"/>
          <w:bCs/>
          <w:color w:val="000000" w:themeColor="text1"/>
          <w:sz w:val="36"/>
          <w14:textFill>
            <w14:solidFill>
              <w14:schemeClr w14:val="tx1"/>
            </w14:solidFill>
          </w14:textFill>
        </w:rPr>
      </w:pPr>
      <w:r>
        <w:rPr>
          <w:rFonts w:eastAsia="方正仿宋_GBK"/>
          <w:bCs/>
          <w:color w:val="000000" w:themeColor="text1"/>
          <w:sz w:val="36"/>
          <w14:textFill>
            <w14:solidFill>
              <w14:schemeClr w14:val="tx1"/>
            </w14:solidFill>
          </w14:textFill>
        </w:rPr>
        <w:t>项 目 名 称：</w:t>
      </w:r>
    </w:p>
    <w:p w14:paraId="0A68DAFE">
      <w:pPr>
        <w:ind w:firstLine="1084"/>
        <w:rPr>
          <w:rFonts w:eastAsia="方正仿宋_GBK"/>
          <w:bCs/>
          <w:color w:val="000000" w:themeColor="text1"/>
          <w:sz w:val="36"/>
          <w:u w:val="single"/>
          <w14:textFill>
            <w14:solidFill>
              <w14:schemeClr w14:val="tx1"/>
            </w14:solidFill>
          </w14:textFill>
        </w:rPr>
      </w:pPr>
      <w:r>
        <w:rPr>
          <w:rFonts w:eastAsia="方正仿宋_GBK"/>
          <w:bCs/>
          <w:color w:val="000000" w:themeColor="text1"/>
          <w:sz w:val="36"/>
          <w14:textFill>
            <w14:solidFill>
              <w14:schemeClr w14:val="tx1"/>
            </w14:solidFill>
          </w14:textFill>
        </w:rPr>
        <w:t>项 目 编 号：</w:t>
      </w:r>
    </w:p>
    <w:p w14:paraId="7504E4D1">
      <w:pPr>
        <w:rPr>
          <w:rFonts w:eastAsia="方正仿宋_GBK"/>
          <w:bCs/>
          <w:color w:val="000000" w:themeColor="text1"/>
          <w:sz w:val="36"/>
          <w:u w:val="single"/>
          <w14:textFill>
            <w14:solidFill>
              <w14:schemeClr w14:val="tx1"/>
            </w14:solidFill>
          </w14:textFill>
        </w:rPr>
      </w:pPr>
      <w:r>
        <w:rPr>
          <w:rFonts w:eastAsia="方正仿宋_GBK"/>
          <w:bCs/>
          <w:color w:val="000000" w:themeColor="text1"/>
          <w:sz w:val="36"/>
          <w14:textFill>
            <w14:solidFill>
              <w14:schemeClr w14:val="tx1"/>
            </w14:solidFill>
          </w14:textFill>
        </w:rPr>
        <w:t xml:space="preserve">      投标人名称 ：</w:t>
      </w:r>
      <w:r>
        <w:rPr>
          <w:rFonts w:eastAsia="方正仿宋_GBK"/>
          <w:bCs/>
          <w:color w:val="000000" w:themeColor="text1"/>
          <w:sz w:val="36"/>
          <w:u w:val="single"/>
          <w14:textFill>
            <w14:solidFill>
              <w14:schemeClr w14:val="tx1"/>
            </w14:solidFill>
          </w14:textFill>
        </w:rPr>
        <w:t>（加盖CA电子公章）</w:t>
      </w:r>
    </w:p>
    <w:p w14:paraId="2823F672">
      <w:pPr>
        <w:rPr>
          <w:rFonts w:eastAsia="方正仿宋_GBK"/>
          <w:bCs/>
          <w:color w:val="000000" w:themeColor="text1"/>
          <w:sz w:val="36"/>
          <w:u w:val="single"/>
          <w14:textFill>
            <w14:solidFill>
              <w14:schemeClr w14:val="tx1"/>
            </w14:solidFill>
          </w14:textFill>
        </w:rPr>
      </w:pPr>
      <w:r>
        <w:rPr>
          <w:rFonts w:eastAsia="方正仿宋_GBK"/>
          <w:bCs/>
          <w:color w:val="000000" w:themeColor="text1"/>
          <w:sz w:val="36"/>
          <w14:textFill>
            <w14:solidFill>
              <w14:schemeClr w14:val="tx1"/>
            </w14:solidFill>
          </w14:textFill>
        </w:rPr>
        <w:t xml:space="preserve">      日      期 ：</w:t>
      </w:r>
    </w:p>
    <w:p w14:paraId="6AF1E250">
      <w:pPr>
        <w:spacing w:line="440" w:lineRule="exact"/>
        <w:jc w:val="center"/>
        <w:rPr>
          <w:rFonts w:eastAsia="方正仿宋_GBK"/>
          <w:b/>
          <w:bCs/>
          <w:color w:val="000000" w:themeColor="text1"/>
          <w:sz w:val="32"/>
          <w:szCs w:val="32"/>
          <w14:textFill>
            <w14:solidFill>
              <w14:schemeClr w14:val="tx1"/>
            </w14:solidFill>
          </w14:textFill>
        </w:rPr>
      </w:pPr>
    </w:p>
    <w:p w14:paraId="1EE0C4F1">
      <w:pPr>
        <w:spacing w:line="440" w:lineRule="exact"/>
        <w:rPr>
          <w:rFonts w:eastAsia="方正仿宋_GBK"/>
          <w:color w:val="000000" w:themeColor="text1"/>
          <w14:textFill>
            <w14:solidFill>
              <w14:schemeClr w14:val="tx1"/>
            </w14:solidFill>
          </w14:textFill>
        </w:rPr>
      </w:pPr>
    </w:p>
    <w:p w14:paraId="78617D85">
      <w:pPr>
        <w:ind w:firstLine="1084"/>
        <w:rPr>
          <w:rFonts w:eastAsia="方正仿宋_GBK"/>
          <w:b/>
          <w:bCs/>
          <w:color w:val="000000" w:themeColor="text1"/>
          <w:sz w:val="32"/>
          <w:szCs w:val="32"/>
          <w14:textFill>
            <w14:solidFill>
              <w14:schemeClr w14:val="tx1"/>
            </w14:solidFill>
          </w14:textFill>
        </w:rPr>
      </w:pPr>
      <w:r>
        <w:rPr>
          <w:rFonts w:eastAsia="方正仿宋_GBK"/>
          <w:b/>
          <w:color w:val="000000" w:themeColor="text1"/>
          <w:sz w:val="36"/>
          <w:u w:val="single"/>
          <w14:textFill>
            <w14:solidFill>
              <w14:schemeClr w14:val="tx1"/>
            </w14:solidFill>
          </w14:textFill>
        </w:rPr>
        <w:br w:type="page" w:clear="all"/>
      </w:r>
    </w:p>
    <w:p w14:paraId="1F6FA6D2">
      <w:pPr>
        <w:spacing w:line="440" w:lineRule="exact"/>
        <w:jc w:val="center"/>
        <w:rPr>
          <w:rFonts w:eastAsia="方正仿宋_GBK"/>
          <w:b/>
          <w:bCs/>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投标文件目录</w:t>
      </w:r>
    </w:p>
    <w:p w14:paraId="766AE76B">
      <w:pPr>
        <w:spacing w:line="440" w:lineRule="exact"/>
        <w:jc w:val="center"/>
        <w:rPr>
          <w:rFonts w:eastAsia="方正仿宋_GBK"/>
          <w:b/>
          <w:bCs/>
          <w:color w:val="000000" w:themeColor="text1"/>
          <w:sz w:val="32"/>
          <w:szCs w:val="32"/>
          <w14:textFill>
            <w14:solidFill>
              <w14:schemeClr w14:val="tx1"/>
            </w14:solidFill>
          </w14:textFill>
        </w:rPr>
      </w:pPr>
    </w:p>
    <w:p w14:paraId="3DE5E65D">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一、投标声明及承诺函</w:t>
      </w:r>
    </w:p>
    <w:p w14:paraId="080BD71A">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二、投标人基本情况</w:t>
      </w:r>
    </w:p>
    <w:p w14:paraId="1F750938">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三、满足特定资格要求的证明文件</w:t>
      </w:r>
    </w:p>
    <w:p w14:paraId="7F0A0F95">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四、法人授权书</w:t>
      </w:r>
    </w:p>
    <w:p w14:paraId="77773033">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五、开标一览表</w:t>
      </w:r>
    </w:p>
    <w:p w14:paraId="4234F771">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六、投标分项报价表</w:t>
      </w:r>
    </w:p>
    <w:p w14:paraId="3DB3E277">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七、中小企业或残疾人福利性单位声明函</w:t>
      </w:r>
    </w:p>
    <w:p w14:paraId="5D40B391">
      <w:pPr>
        <w:spacing w:line="6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八、技术要求响应及偏离表</w:t>
      </w:r>
    </w:p>
    <w:p w14:paraId="4A09FDF5">
      <w:pPr>
        <w:spacing w:line="600" w:lineRule="exact"/>
        <w:ind w:firstLine="56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九、项目组成员</w:t>
      </w:r>
    </w:p>
    <w:p w14:paraId="1A40EAB2">
      <w:pPr>
        <w:spacing w:line="600" w:lineRule="exact"/>
        <w:ind w:firstLine="56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十、企业业绩</w:t>
      </w:r>
    </w:p>
    <w:p w14:paraId="171C65D8">
      <w:pPr>
        <w:spacing w:line="600" w:lineRule="exact"/>
        <w:ind w:firstLine="560"/>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十一、项目实施方案</w:t>
      </w:r>
    </w:p>
    <w:p w14:paraId="09AB82BD">
      <w:pPr>
        <w:spacing w:line="600" w:lineRule="exact"/>
        <w:ind w:firstLine="56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十</w:t>
      </w:r>
      <w:r>
        <w:rPr>
          <w:rFonts w:hint="eastAsia" w:eastAsia="方正仿宋_GBK" w:cs="Times New Roman"/>
          <w:color w:val="000000" w:themeColor="text1"/>
          <w:sz w:val="28"/>
          <w:szCs w:val="28"/>
          <w:lang w:eastAsia="zh-CN"/>
          <w14:textFill>
            <w14:solidFill>
              <w14:schemeClr w14:val="tx1"/>
            </w14:solidFill>
          </w14:textFill>
        </w:rPr>
        <w:t>二</w:t>
      </w:r>
      <w:r>
        <w:rPr>
          <w:rFonts w:ascii="Times New Roman" w:hAnsi="Times New Roman" w:eastAsia="方正仿宋_GBK" w:cs="Times New Roman"/>
          <w:color w:val="000000" w:themeColor="text1"/>
          <w:sz w:val="28"/>
          <w:szCs w:val="28"/>
          <w14:textFill>
            <w14:solidFill>
              <w14:schemeClr w14:val="tx1"/>
            </w14:solidFill>
          </w14:textFill>
        </w:rPr>
        <w:t>、投标所需其他材料</w:t>
      </w:r>
    </w:p>
    <w:p w14:paraId="03FC2FF2">
      <w:pPr>
        <w:pStyle w:val="238"/>
        <w:rPr>
          <w:rFonts w:ascii="Times New Roman" w:hAnsi="Times New Roman" w:eastAsia="方正仿宋_GBK"/>
          <w:caps w:val="0"/>
          <w:color w:val="000000" w:themeColor="text1"/>
          <w14:textFill>
            <w14:solidFill>
              <w14:schemeClr w14:val="tx1"/>
            </w14:solidFill>
          </w14:textFill>
        </w:rPr>
      </w:pPr>
    </w:p>
    <w:p w14:paraId="4515A5D1">
      <w:pPr>
        <w:spacing w:line="440" w:lineRule="exact"/>
        <w:ind w:firstLine="480"/>
        <w:rPr>
          <w:rFonts w:eastAsia="方正仿宋_GBK"/>
          <w:color w:val="000000" w:themeColor="text1"/>
          <w:sz w:val="24"/>
          <w14:textFill>
            <w14:solidFill>
              <w14:schemeClr w14:val="tx1"/>
            </w14:solidFill>
          </w14:textFill>
        </w:rPr>
      </w:pPr>
    </w:p>
    <w:p w14:paraId="59E62558">
      <w:pPr>
        <w:spacing w:line="440" w:lineRule="exact"/>
        <w:ind w:firstLine="480"/>
        <w:rPr>
          <w:rFonts w:eastAsia="方正仿宋_GBK"/>
          <w:color w:val="000000" w:themeColor="text1"/>
          <w:sz w:val="24"/>
          <w14:textFill>
            <w14:solidFill>
              <w14:schemeClr w14:val="tx1"/>
            </w14:solidFill>
          </w14:textFill>
        </w:rPr>
      </w:pPr>
    </w:p>
    <w:p w14:paraId="65AC8F3C">
      <w:pPr>
        <w:spacing w:line="440" w:lineRule="exact"/>
        <w:ind w:firstLine="480"/>
        <w:rPr>
          <w:rFonts w:eastAsia="方正仿宋_GBK"/>
          <w:color w:val="000000" w:themeColor="text1"/>
          <w:sz w:val="24"/>
          <w14:textFill>
            <w14:solidFill>
              <w14:schemeClr w14:val="tx1"/>
            </w14:solidFill>
          </w14:textFill>
        </w:rPr>
      </w:pPr>
    </w:p>
    <w:p w14:paraId="1F5D4A9F">
      <w:pPr>
        <w:spacing w:line="440" w:lineRule="exact"/>
        <w:ind w:firstLine="480"/>
        <w:rPr>
          <w:rFonts w:eastAsia="方正仿宋_GBK"/>
          <w:color w:val="000000" w:themeColor="text1"/>
          <w:sz w:val="24"/>
          <w14:textFill>
            <w14:solidFill>
              <w14:schemeClr w14:val="tx1"/>
            </w14:solidFill>
          </w14:textFill>
        </w:rPr>
      </w:pPr>
    </w:p>
    <w:p w14:paraId="2AB4474C">
      <w:pPr>
        <w:spacing w:line="440" w:lineRule="exact"/>
        <w:ind w:firstLine="480"/>
        <w:rPr>
          <w:rFonts w:eastAsia="方正仿宋_GBK"/>
          <w:color w:val="000000" w:themeColor="text1"/>
          <w:sz w:val="24"/>
          <w14:textFill>
            <w14:solidFill>
              <w14:schemeClr w14:val="tx1"/>
            </w14:solidFill>
          </w14:textFill>
        </w:rPr>
      </w:pPr>
    </w:p>
    <w:p w14:paraId="701D3C8A">
      <w:pPr>
        <w:pStyle w:val="305"/>
        <w:rPr>
          <w:color w:val="000000" w:themeColor="text1"/>
          <w14:textFill>
            <w14:solidFill>
              <w14:schemeClr w14:val="tx1"/>
            </w14:solidFill>
          </w14:textFill>
        </w:rPr>
      </w:pPr>
      <w:bookmarkStart w:id="227" w:name="_Toc23838"/>
    </w:p>
    <w:p w14:paraId="791FC404">
      <w:pPr>
        <w:pStyle w:val="305"/>
        <w:rPr>
          <w:color w:val="000000" w:themeColor="text1"/>
          <w14:textFill>
            <w14:solidFill>
              <w14:schemeClr w14:val="tx1"/>
            </w14:solidFill>
          </w14:textFill>
        </w:rPr>
      </w:pPr>
    </w:p>
    <w:p w14:paraId="0A4F4708">
      <w:pPr>
        <w:pStyle w:val="305"/>
        <w:rPr>
          <w:color w:val="000000" w:themeColor="text1"/>
          <w14:textFill>
            <w14:solidFill>
              <w14:schemeClr w14:val="tx1"/>
            </w14:solidFill>
          </w14:textFill>
        </w:rPr>
      </w:pPr>
    </w:p>
    <w:p w14:paraId="23BAAABE">
      <w:pPr>
        <w:pStyle w:val="305"/>
        <w:rPr>
          <w:color w:val="000000" w:themeColor="text1"/>
          <w14:textFill>
            <w14:solidFill>
              <w14:schemeClr w14:val="tx1"/>
            </w14:solidFill>
          </w14:textFill>
        </w:rPr>
      </w:pPr>
    </w:p>
    <w:p w14:paraId="1CD77581">
      <w:pPr>
        <w:pStyle w:val="305"/>
        <w:rPr>
          <w:color w:val="000000" w:themeColor="text1"/>
          <w14:textFill>
            <w14:solidFill>
              <w14:schemeClr w14:val="tx1"/>
            </w14:solidFill>
          </w14:textFill>
        </w:rPr>
      </w:pPr>
    </w:p>
    <w:p w14:paraId="13FA72EB">
      <w:pPr>
        <w:pStyle w:val="305"/>
        <w:rPr>
          <w:color w:val="000000" w:themeColor="text1"/>
          <w14:textFill>
            <w14:solidFill>
              <w14:schemeClr w14:val="tx1"/>
            </w14:solidFill>
          </w14:textFill>
        </w:rPr>
      </w:pPr>
    </w:p>
    <w:p w14:paraId="6DAED8FD">
      <w:pPr>
        <w:pStyle w:val="305"/>
        <w:rPr>
          <w:color w:val="000000" w:themeColor="text1"/>
          <w14:textFill>
            <w14:solidFill>
              <w14:schemeClr w14:val="tx1"/>
            </w14:solidFill>
          </w14:textFill>
        </w:rPr>
      </w:pPr>
    </w:p>
    <w:p w14:paraId="62AA930A">
      <w:pPr>
        <w:pStyle w:val="305"/>
        <w:rPr>
          <w:color w:val="000000" w:themeColor="text1"/>
          <w14:textFill>
            <w14:solidFill>
              <w14:schemeClr w14:val="tx1"/>
            </w14:solidFill>
          </w14:textFill>
        </w:rPr>
      </w:pPr>
    </w:p>
    <w:p w14:paraId="20AE5E63">
      <w:pPr>
        <w:pStyle w:val="305"/>
        <w:rPr>
          <w:color w:val="000000" w:themeColor="text1"/>
          <w14:textFill>
            <w14:solidFill>
              <w14:schemeClr w14:val="tx1"/>
            </w14:solidFill>
          </w14:textFill>
        </w:rPr>
      </w:pPr>
    </w:p>
    <w:bookmarkEnd w:id="224"/>
    <w:bookmarkEnd w:id="225"/>
    <w:bookmarkEnd w:id="226"/>
    <w:bookmarkEnd w:id="227"/>
    <w:p w14:paraId="7523498E">
      <w:pPr>
        <w:pStyle w:val="303"/>
        <w:spacing w:line="480" w:lineRule="exact"/>
        <w:rPr>
          <w:rFonts w:ascii="方正黑体_GBK" w:hAnsi="方正黑体_GBK" w:eastAsia="方正黑体_GBK" w:cs="方正黑体_GBK"/>
          <w:b/>
          <w:bCs/>
          <w:color w:val="000000" w:themeColor="text1"/>
          <w:sz w:val="30"/>
          <w:szCs w:val="30"/>
          <w14:textFill>
            <w14:solidFill>
              <w14:schemeClr w14:val="tx1"/>
            </w14:solidFill>
          </w14:textFill>
        </w:rPr>
      </w:pPr>
      <w:bookmarkStart w:id="228" w:name="_Toc120614284"/>
      <w:r>
        <w:rPr>
          <w:rFonts w:ascii="方正黑体_GBK" w:hAnsi="方正黑体_GBK" w:eastAsia="方正黑体_GBK" w:cs="方正黑体_GBK"/>
          <w:b/>
          <w:bCs/>
          <w:color w:val="000000" w:themeColor="text1"/>
          <w:sz w:val="30"/>
          <w:szCs w:val="30"/>
          <w14:textFill>
            <w14:solidFill>
              <w14:schemeClr w14:val="tx1"/>
            </w14:solidFill>
          </w14:textFill>
        </w:rPr>
        <w:t>一、投标声明及承诺函</w:t>
      </w:r>
    </w:p>
    <w:p w14:paraId="4247E665">
      <w:pPr>
        <w:pStyle w:val="303"/>
        <w:spacing w:line="480" w:lineRule="exact"/>
        <w:jc w:val="center"/>
        <w:rPr>
          <w:rFonts w:hint="eastAsia"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投标声明及承诺函</w:t>
      </w:r>
    </w:p>
    <w:p w14:paraId="7D88F71D">
      <w:pPr>
        <w:pStyle w:val="303"/>
        <w:spacing w:line="480" w:lineRule="exact"/>
        <w:rPr>
          <w:rFonts w:ascii="方正黑体_GBK" w:hAnsi="方正黑体_GBK" w:eastAsia="方正黑体_GBK" w:cs="方正黑体_GBK"/>
          <w:color w:val="000000" w:themeColor="text1"/>
          <w:sz w:val="24"/>
          <w:szCs w:val="24"/>
          <w14:textFill>
            <w14:solidFill>
              <w14:schemeClr w14:val="tx1"/>
            </w14:solidFill>
          </w14:textFill>
        </w:rPr>
      </w:pPr>
    </w:p>
    <w:p w14:paraId="4416DE10">
      <w:pPr>
        <w:pStyle w:val="303"/>
        <w:spacing w:line="480" w:lineRule="exact"/>
        <w:jc w:val="left"/>
        <w:rPr>
          <w:rFonts w:ascii="Times New Roman" w:hAnsi="Times New Roman" w:eastAsia="方正仿宋_GBK"/>
          <w:color w:val="000000" w:themeColor="text1"/>
          <w:sz w:val="24"/>
          <w:szCs w:val="24"/>
          <w:u w:val="single"/>
          <w14:textFill>
            <w14:solidFill>
              <w14:schemeClr w14:val="tx1"/>
            </w14:solidFill>
          </w14:textFill>
        </w:rPr>
      </w:pPr>
      <w:r>
        <w:rPr>
          <w:rFonts w:ascii="Times New Roman" w:hAnsi="Times New Roman" w:eastAsia="方正仿宋_GBK"/>
          <w:color w:val="000000" w:themeColor="text1"/>
          <w:sz w:val="24"/>
          <w:szCs w:val="24"/>
          <w:u w:val="single"/>
          <w14:textFill>
            <w14:solidFill>
              <w14:schemeClr w14:val="tx1"/>
            </w14:solidFill>
          </w14:textFill>
        </w:rPr>
        <w:t>（采购单位名称）：</w:t>
      </w:r>
    </w:p>
    <w:p w14:paraId="2112E3E8">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根据已收到的项目编号为</w:t>
      </w:r>
      <w:r>
        <w:rPr>
          <w:rFonts w:hint="eastAsia" w:ascii="Times New Roman" w:hAnsi="Times New Roman" w:eastAsia="方正仿宋_GBK"/>
          <w:color w:val="000000" w:themeColor="text1"/>
          <w:sz w:val="24"/>
          <w:szCs w:val="24"/>
          <w:u w:val="single"/>
          <w:lang w:eastAsia="zh-CN"/>
          <w14:textFill>
            <w14:solidFill>
              <w14:schemeClr w14:val="tx1"/>
            </w14:solidFill>
          </w14:textFill>
        </w:rPr>
        <w:t>JSZC-321300-SWZX-G2025-0001</w:t>
      </w:r>
      <w:r>
        <w:rPr>
          <w:rFonts w:ascii="Times New Roman" w:hAnsi="Times New Roman" w:eastAsia="方正仿宋_GBK"/>
          <w:color w:val="000000" w:themeColor="text1"/>
          <w:sz w:val="24"/>
          <w:szCs w:val="24"/>
          <w14:textFill>
            <w14:solidFill>
              <w14:schemeClr w14:val="tx1"/>
            </w14:solidFill>
          </w14:textFill>
        </w:rPr>
        <w:t>的</w:t>
      </w:r>
      <w:r>
        <w:rPr>
          <w:rFonts w:ascii="Times New Roman" w:hAnsi="Times New Roman" w:eastAsia="方正仿宋_GBK"/>
          <w:color w:val="000000" w:themeColor="text1"/>
          <w:sz w:val="24"/>
          <w:szCs w:val="24"/>
          <w:u w:val="single"/>
          <w14:textFill>
            <w14:solidFill>
              <w14:schemeClr w14:val="tx1"/>
            </w14:solidFill>
          </w14:textFill>
        </w:rPr>
        <w:t>宿迁市城市生命线二期2024年项目（市级管养三座桥梁硬件设施采购及安装项目）</w:t>
      </w:r>
      <w:r>
        <w:rPr>
          <w:rFonts w:ascii="Times New Roman" w:hAnsi="Times New Roman" w:eastAsia="方正仿宋_GBK"/>
          <w:color w:val="000000" w:themeColor="text1"/>
          <w:sz w:val="24"/>
          <w:szCs w:val="24"/>
          <w14:textFill>
            <w14:solidFill>
              <w14:schemeClr w14:val="tx1"/>
            </w14:solidFill>
          </w14:textFill>
        </w:rPr>
        <w:t>的招标文件，我方在参加本项目招投标活动中，特做出如下承诺：</w:t>
      </w:r>
    </w:p>
    <w:p w14:paraId="490FD91E">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一、我方</w:t>
      </w:r>
      <w:r>
        <w:rPr>
          <w:rFonts w:ascii="Times New Roman" w:hAnsi="Times New Roman" w:eastAsia="方正仿宋_GBK"/>
          <w:color w:val="000000" w:themeColor="text1"/>
          <w:sz w:val="24"/>
          <w:szCs w:val="24"/>
          <w:highlight w:val="white"/>
          <w14:textFill>
            <w14:solidFill>
              <w14:schemeClr w14:val="tx1"/>
            </w14:solidFill>
          </w14:textFill>
        </w:rPr>
        <w:t>具备《中华人民共和国政府采购法》第二十二条第一款规定的6项条件；</w:t>
      </w:r>
    </w:p>
    <w:p w14:paraId="0CDBF7DB">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二、我方在参加政府采购活动前三年内（自本项目开标时间之日起计算），在经营活动中没有重大违法记录（指因违法经营受到刑事处罚或者责令停产停业、吊销许可证或者执照、较大数额罚款等行政处罚）。</w:t>
      </w:r>
    </w:p>
    <w:p w14:paraId="1A8FBE5F">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三、我方按招标文件要求提交投标文件，响应招标文件规定的投标有效期；</w:t>
      </w:r>
    </w:p>
    <w:p w14:paraId="798F7D7F">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四、如果我方的投标文件被接受，我方将按《中华人民共和国民法典（第三编合同）》及其他有关法律、法规的规定，按期、按质、按量交付采购单位，全面做到履约守信；</w:t>
      </w:r>
    </w:p>
    <w:p w14:paraId="351480DF">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五、我方若违背本声明及承诺约定，经查实，自愿接受采购人及相关主管部门相应的规定处理，并依法承担相应的法律责任。</w:t>
      </w:r>
    </w:p>
    <w:p w14:paraId="414912D5">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六、我方同意采购人、采购代理机构将本声明及承诺函上网公开。</w:t>
      </w:r>
    </w:p>
    <w:p w14:paraId="1625450E">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p>
    <w:p w14:paraId="08F12C49">
      <w:pPr>
        <w:pStyle w:val="303"/>
        <w:spacing w:line="480" w:lineRule="exact"/>
        <w:jc w:val="left"/>
        <w:rPr>
          <w:rFonts w:ascii="Times New Roman" w:hAnsi="Times New Roman" w:eastAsia="方正仿宋_GBK"/>
          <w:color w:val="000000" w:themeColor="text1"/>
          <w:sz w:val="24"/>
          <w:szCs w:val="24"/>
          <w14:textFill>
            <w14:solidFill>
              <w14:schemeClr w14:val="tx1"/>
            </w14:solidFill>
          </w14:textFill>
        </w:rPr>
      </w:pPr>
    </w:p>
    <w:p w14:paraId="16D0EB7F">
      <w:pPr>
        <w:pStyle w:val="303"/>
        <w:spacing w:line="480" w:lineRule="exact"/>
        <w:ind w:firstLine="48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投标人名称： （加盖CA电子公章）</w:t>
      </w:r>
    </w:p>
    <w:p w14:paraId="500AB7EB">
      <w:pPr>
        <w:pStyle w:val="303"/>
        <w:spacing w:line="480" w:lineRule="exact"/>
        <w:ind w:firstLine="480"/>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日期：    年    月   日</w:t>
      </w:r>
    </w:p>
    <w:p w14:paraId="6EFC498E">
      <w:pPr>
        <w:pStyle w:val="303"/>
        <w:spacing w:line="480" w:lineRule="exact"/>
        <w:jc w:val="left"/>
        <w:rPr>
          <w:rFonts w:hint="eastAsia" w:ascii="方正黑体_GBK" w:hAnsi="方正黑体_GBK" w:eastAsia="方正黑体_GBK" w:cs="方正黑体_GBK"/>
          <w:b/>
          <w:bCs/>
          <w:color w:val="000000" w:themeColor="text1"/>
          <w:sz w:val="30"/>
          <w:szCs w:val="30"/>
          <w14:textFill>
            <w14:solidFill>
              <w14:schemeClr w14:val="tx1"/>
            </w14:solidFill>
          </w14:textFill>
        </w:rPr>
      </w:pPr>
      <w:r>
        <w:rPr>
          <w:color w:val="000000" w:themeColor="text1"/>
          <w14:textFill>
            <w14:solidFill>
              <w14:schemeClr w14:val="tx1"/>
            </w14:solidFill>
          </w14:textFill>
        </w:rPr>
        <w:br w:type="page" w:clear="all"/>
      </w:r>
      <w:r>
        <w:rPr>
          <w:rFonts w:hint="eastAsia" w:ascii="方正黑体_GBK" w:hAnsi="方正黑体_GBK" w:eastAsia="方正黑体_GBK" w:cs="方正黑体_GBK"/>
          <w:b/>
          <w:bCs/>
          <w:color w:val="000000" w:themeColor="text1"/>
          <w:sz w:val="30"/>
          <w:szCs w:val="30"/>
          <w14:textFill>
            <w14:solidFill>
              <w14:schemeClr w14:val="tx1"/>
            </w14:solidFill>
          </w14:textFill>
        </w:rPr>
        <w:t>二、投标人基本情况</w:t>
      </w:r>
    </w:p>
    <w:p w14:paraId="563B0D63">
      <w:pPr>
        <w:pStyle w:val="303"/>
        <w:spacing w:line="480" w:lineRule="exact"/>
        <w:jc w:val="center"/>
        <w:rPr>
          <w:rFonts w:hint="eastAsia" w:ascii="方正黑体_GBK" w:hAnsi="方正黑体_GBK" w:eastAsia="方正黑体_GBK" w:cs="方正黑体_GBK"/>
          <w:b/>
          <w:bCs/>
          <w:color w:val="000000" w:themeColor="text1"/>
          <w:sz w:val="30"/>
          <w:szCs w:val="30"/>
          <w14:textFill>
            <w14:solidFill>
              <w14:schemeClr w14:val="tx1"/>
            </w14:solidFill>
          </w14:textFill>
        </w:rPr>
      </w:pPr>
      <w:r>
        <w:rPr>
          <w:rFonts w:hint="eastAsia" w:ascii="方正黑体_GBK" w:hAnsi="方正黑体_GBK" w:eastAsia="方正黑体_GBK" w:cs="方正黑体_GBK"/>
          <w:b/>
          <w:bCs/>
          <w:color w:val="000000" w:themeColor="text1"/>
          <w:sz w:val="30"/>
          <w:szCs w:val="30"/>
          <w14:textFill>
            <w14:solidFill>
              <w14:schemeClr w14:val="tx1"/>
            </w14:solidFill>
          </w14:textFill>
        </w:rPr>
        <w:t>投标人基本情况表</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14:paraId="0430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5BB6D8D6">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投标人名称</w:t>
            </w:r>
          </w:p>
        </w:tc>
        <w:tc>
          <w:tcPr>
            <w:tcW w:w="6998" w:type="dxa"/>
            <w:gridSpan w:val="3"/>
            <w:vAlign w:val="center"/>
          </w:tcPr>
          <w:p w14:paraId="4657D168">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4612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2866607B">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法定代表人</w:t>
            </w:r>
          </w:p>
        </w:tc>
        <w:tc>
          <w:tcPr>
            <w:tcW w:w="3118" w:type="dxa"/>
            <w:vAlign w:val="center"/>
          </w:tcPr>
          <w:p w14:paraId="42CC08CE">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15493C1F">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注册地区</w:t>
            </w:r>
          </w:p>
        </w:tc>
        <w:tc>
          <w:tcPr>
            <w:tcW w:w="2604" w:type="dxa"/>
            <w:vAlign w:val="center"/>
          </w:tcPr>
          <w:p w14:paraId="1FB1801D">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6357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3123E1AD">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地址</w:t>
            </w:r>
          </w:p>
        </w:tc>
        <w:tc>
          <w:tcPr>
            <w:tcW w:w="3118" w:type="dxa"/>
            <w:vAlign w:val="center"/>
          </w:tcPr>
          <w:p w14:paraId="4A778B22">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3E5F2EB3">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邮政编码</w:t>
            </w:r>
          </w:p>
        </w:tc>
        <w:tc>
          <w:tcPr>
            <w:tcW w:w="2604" w:type="dxa"/>
            <w:vAlign w:val="center"/>
          </w:tcPr>
          <w:p w14:paraId="26C88B26">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47EF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7326AB1A">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成立时间</w:t>
            </w:r>
          </w:p>
        </w:tc>
        <w:tc>
          <w:tcPr>
            <w:tcW w:w="3118" w:type="dxa"/>
            <w:vAlign w:val="center"/>
          </w:tcPr>
          <w:p w14:paraId="335FBB19">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459E7565">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单位性质</w:t>
            </w:r>
          </w:p>
        </w:tc>
        <w:tc>
          <w:tcPr>
            <w:tcW w:w="2604" w:type="dxa"/>
            <w:vAlign w:val="center"/>
          </w:tcPr>
          <w:p w14:paraId="6AF74D0E">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7D6B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60CE73A0">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注册号或社会信用代码</w:t>
            </w:r>
          </w:p>
        </w:tc>
        <w:tc>
          <w:tcPr>
            <w:tcW w:w="3118" w:type="dxa"/>
            <w:vAlign w:val="center"/>
          </w:tcPr>
          <w:p w14:paraId="008F1B33">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320A8F28">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注册资本（万元）</w:t>
            </w:r>
          </w:p>
        </w:tc>
        <w:tc>
          <w:tcPr>
            <w:tcW w:w="2604" w:type="dxa"/>
            <w:vAlign w:val="center"/>
          </w:tcPr>
          <w:p w14:paraId="68119888">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36F8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443A4E5D">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投标人类别</w:t>
            </w:r>
          </w:p>
        </w:tc>
        <w:tc>
          <w:tcPr>
            <w:tcW w:w="6998" w:type="dxa"/>
            <w:gridSpan w:val="3"/>
            <w:vAlign w:val="center"/>
          </w:tcPr>
          <w:p w14:paraId="0DF7ACE7">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45D3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27F75AEB">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开户银行</w:t>
            </w:r>
          </w:p>
        </w:tc>
        <w:tc>
          <w:tcPr>
            <w:tcW w:w="3118" w:type="dxa"/>
            <w:vAlign w:val="center"/>
          </w:tcPr>
          <w:p w14:paraId="716FB9FD">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531ADA97">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账号</w:t>
            </w:r>
          </w:p>
        </w:tc>
        <w:tc>
          <w:tcPr>
            <w:tcW w:w="2604" w:type="dxa"/>
            <w:vAlign w:val="center"/>
          </w:tcPr>
          <w:p w14:paraId="0EB0B737">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011AC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343BFF58">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联系人</w:t>
            </w:r>
          </w:p>
        </w:tc>
        <w:tc>
          <w:tcPr>
            <w:tcW w:w="3118" w:type="dxa"/>
            <w:vAlign w:val="center"/>
          </w:tcPr>
          <w:p w14:paraId="4EE07063">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c>
          <w:tcPr>
            <w:tcW w:w="1276" w:type="dxa"/>
            <w:vAlign w:val="center"/>
          </w:tcPr>
          <w:p w14:paraId="5A3922B8">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联系电话</w:t>
            </w:r>
          </w:p>
        </w:tc>
        <w:tc>
          <w:tcPr>
            <w:tcW w:w="2604" w:type="dxa"/>
            <w:vAlign w:val="center"/>
          </w:tcPr>
          <w:p w14:paraId="0EFDE0ED">
            <w:pPr>
              <w:pStyle w:val="306"/>
              <w:spacing w:line="600" w:lineRule="exact"/>
              <w:jc w:val="center"/>
              <w:rPr>
                <w:rFonts w:ascii="Times New Roman" w:hAnsi="Times New Roman" w:eastAsia="仿宋_GB2312"/>
                <w:color w:val="000000" w:themeColor="text1"/>
                <w:sz w:val="24"/>
                <w:szCs w:val="24"/>
                <w14:textFill>
                  <w14:solidFill>
                    <w14:schemeClr w14:val="tx1"/>
                  </w14:solidFill>
                </w14:textFill>
              </w:rPr>
            </w:pPr>
          </w:p>
        </w:tc>
      </w:tr>
      <w:tr w14:paraId="4CDD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526" w:type="dxa"/>
            <w:vAlign w:val="center"/>
          </w:tcPr>
          <w:p w14:paraId="501E3213">
            <w:pPr>
              <w:pStyle w:val="306"/>
              <w:spacing w:line="56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经营范围</w:t>
            </w:r>
          </w:p>
        </w:tc>
        <w:tc>
          <w:tcPr>
            <w:tcW w:w="6998" w:type="dxa"/>
            <w:gridSpan w:val="3"/>
          </w:tcPr>
          <w:p w14:paraId="16CC8AF0">
            <w:pPr>
              <w:pStyle w:val="306"/>
              <w:spacing w:line="560" w:lineRule="exact"/>
              <w:ind w:firstLine="1432"/>
              <w:rPr>
                <w:rFonts w:ascii="Times New Roman" w:hAnsi="Times New Roman" w:eastAsia="仿宋_GB2312"/>
                <w:color w:val="000000" w:themeColor="text1"/>
                <w:sz w:val="24"/>
                <w:szCs w:val="24"/>
                <w14:textFill>
                  <w14:solidFill>
                    <w14:schemeClr w14:val="tx1"/>
                  </w14:solidFill>
                </w14:textFill>
              </w:rPr>
            </w:pPr>
          </w:p>
        </w:tc>
      </w:tr>
      <w:tr w14:paraId="4D74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vAlign w:val="center"/>
          </w:tcPr>
          <w:p w14:paraId="24F77001">
            <w:pPr>
              <w:pStyle w:val="306"/>
              <w:spacing w:line="56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备注</w:t>
            </w:r>
          </w:p>
        </w:tc>
        <w:tc>
          <w:tcPr>
            <w:tcW w:w="6998" w:type="dxa"/>
            <w:gridSpan w:val="3"/>
            <w:vAlign w:val="center"/>
          </w:tcPr>
          <w:p w14:paraId="715937C2">
            <w:pPr>
              <w:pStyle w:val="306"/>
              <w:spacing w:line="500" w:lineRule="exact"/>
              <w:jc w:val="center"/>
              <w:rPr>
                <w:rFonts w:ascii="Times New Roman" w:hAnsi="Times New Roman" w:eastAsia="方正仿宋_GBK"/>
                <w:color w:val="000000" w:themeColor="text1"/>
                <w:sz w:val="24"/>
                <w:szCs w:val="24"/>
                <w14:textFill>
                  <w14:solidFill>
                    <w14:schemeClr w14:val="tx1"/>
                  </w14:solidFill>
                </w14:textFill>
              </w:rPr>
            </w:pPr>
          </w:p>
          <w:p w14:paraId="5A1E84CB">
            <w:pPr>
              <w:pStyle w:val="306"/>
              <w:spacing w:line="500" w:lineRule="exact"/>
              <w:jc w:val="center"/>
              <w:rPr>
                <w:rFonts w:ascii="Times New Roman" w:hAnsi="Times New Roman" w:eastAsia="仿宋_GB2312"/>
                <w:color w:val="000000" w:themeColor="text1"/>
                <w:sz w:val="24"/>
                <w:szCs w:val="24"/>
                <w14:textFill>
                  <w14:solidFill>
                    <w14:schemeClr w14:val="tx1"/>
                  </w14:solidFill>
                </w14:textFill>
              </w:rPr>
            </w:pPr>
          </w:p>
        </w:tc>
      </w:tr>
    </w:tbl>
    <w:p w14:paraId="7970232D">
      <w:pPr>
        <w:spacing w:line="440" w:lineRule="exact"/>
        <w:ind w:firstLine="480"/>
        <w:rPr>
          <w:rFonts w:eastAsia="方正仿宋_GBK"/>
          <w:color w:val="000000" w:themeColor="text1"/>
          <w:sz w:val="24"/>
          <w14:textFill>
            <w14:solidFill>
              <w14:schemeClr w14:val="tx1"/>
            </w14:solidFill>
          </w14:textFill>
        </w:rPr>
      </w:pPr>
    </w:p>
    <w:p w14:paraId="172FC960">
      <w:pPr>
        <w:spacing w:line="440" w:lineRule="exact"/>
        <w:ind w:firstLine="480"/>
        <w:rPr>
          <w:rFonts w:eastAsia="方正仿宋_GBK"/>
          <w:color w:val="000000" w:themeColor="text1"/>
          <w:sz w:val="24"/>
          <w14:textFill>
            <w14:solidFill>
              <w14:schemeClr w14:val="tx1"/>
            </w14:solidFill>
          </w14:textFill>
        </w:rPr>
      </w:pPr>
    </w:p>
    <w:p w14:paraId="460F9033">
      <w:pPr>
        <w:spacing w:line="440" w:lineRule="exact"/>
        <w:ind w:firstLine="480"/>
        <w:rPr>
          <w:rFonts w:eastAsia="方正仿宋_GBK"/>
          <w:color w:val="000000" w:themeColor="text1"/>
          <w:sz w:val="24"/>
          <w14:textFill>
            <w14:solidFill>
              <w14:schemeClr w14:val="tx1"/>
            </w14:solidFill>
          </w14:textFill>
        </w:rPr>
      </w:pPr>
    </w:p>
    <w:p w14:paraId="10B82FD1">
      <w:pPr>
        <w:pStyle w:val="303"/>
        <w:rPr>
          <w:rFonts w:ascii="Times New Roman" w:hAnsi="Times New Roman" w:eastAsia="方正黑体_GBK"/>
          <w:i/>
          <w:color w:val="000000" w:themeColor="text1"/>
          <w:sz w:val="32"/>
          <w:szCs w:val="32"/>
          <w:u w:val="single"/>
          <w14:textFill>
            <w14:solidFill>
              <w14:schemeClr w14:val="tx1"/>
            </w14:solidFill>
          </w14:textFill>
        </w:rPr>
      </w:pPr>
    </w:p>
    <w:p w14:paraId="435E02F0">
      <w:pPr>
        <w:rPr>
          <w:rFonts w:eastAsia="方正黑体_GBK"/>
          <w:i/>
          <w:color w:val="000000" w:themeColor="text1"/>
          <w:sz w:val="32"/>
          <w:szCs w:val="32"/>
          <w:u w:val="single"/>
          <w14:textFill>
            <w14:solidFill>
              <w14:schemeClr w14:val="tx1"/>
            </w14:solidFill>
          </w14:textFill>
        </w:rPr>
      </w:pPr>
      <w:r>
        <w:rPr>
          <w:rFonts w:eastAsia="方正仿宋_GBK"/>
          <w:color w:val="000000" w:themeColor="text1"/>
          <w14:textFill>
            <w14:solidFill>
              <w14:schemeClr w14:val="tx1"/>
            </w14:solidFill>
          </w14:textFill>
        </w:rPr>
        <w:br w:type="page" w:clear="all"/>
      </w: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三、特定资格要求的证明文件</w:t>
      </w:r>
    </w:p>
    <w:p w14:paraId="7D727D68">
      <w:pPr>
        <w:spacing w:line="460" w:lineRule="exact"/>
        <w:rPr>
          <w:rFonts w:eastAsia="方正仿宋_GBK"/>
          <w:bCs/>
          <w:color w:val="000000" w:themeColor="text1"/>
          <w:sz w:val="24"/>
          <w14:textFill>
            <w14:solidFill>
              <w14:schemeClr w14:val="tx1"/>
            </w14:solidFill>
          </w14:textFill>
        </w:rPr>
      </w:pPr>
    </w:p>
    <w:p w14:paraId="726AB5D1">
      <w:pPr>
        <w:spacing w:line="460" w:lineRule="exact"/>
        <w:rPr>
          <w:rFonts w:eastAsia="方正仿宋_GBK"/>
          <w:bCs/>
          <w:color w:val="000000" w:themeColor="text1"/>
          <w:sz w:val="24"/>
          <w14:textFill>
            <w14:solidFill>
              <w14:schemeClr w14:val="tx1"/>
            </w14:solidFill>
          </w14:textFill>
        </w:rPr>
      </w:pPr>
    </w:p>
    <w:p w14:paraId="06084C59">
      <w:pP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四、法人授权书</w:t>
      </w:r>
    </w:p>
    <w:p w14:paraId="4A44740A">
      <w:pPr>
        <w:jc w:val="center"/>
        <w:rPr>
          <w:rFonts w:hint="default"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法人授权书</w:t>
      </w:r>
    </w:p>
    <w:p w14:paraId="7C77D969">
      <w:pP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p>
    <w:p w14:paraId="19CED136">
      <w:pPr>
        <w:pStyle w:val="274"/>
        <w:spacing w:line="480" w:lineRule="exact"/>
        <w:ind w:firstLine="48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本授权书声明：____________（投标人名称）授权________________（被授权人的姓名）为我方就</w:t>
      </w:r>
      <w:r>
        <w:rPr>
          <w:rFonts w:hint="eastAsia" w:eastAsia="方正仿宋_GBK"/>
          <w:color w:val="000000" w:themeColor="text1"/>
          <w:sz w:val="24"/>
          <w:szCs w:val="24"/>
          <w:u w:val="single"/>
          <w:lang w:eastAsia="zh-CN"/>
          <w14:textFill>
            <w14:solidFill>
              <w14:schemeClr w14:val="tx1"/>
            </w14:solidFill>
          </w14:textFill>
        </w:rPr>
        <w:t>JSZC-321300-SWZX-G2025-0001</w:t>
      </w:r>
      <w:r>
        <w:rPr>
          <w:rFonts w:eastAsia="方正仿宋_GBK"/>
          <w:color w:val="000000" w:themeColor="text1"/>
          <w:sz w:val="24"/>
          <w:szCs w:val="24"/>
          <w:u w:val="single"/>
          <w14:textFill>
            <w14:solidFill>
              <w14:schemeClr w14:val="tx1"/>
            </w14:solidFill>
          </w14:textFill>
        </w:rPr>
        <w:t>宿迁市城市生命线二期2024年项目（市级管养三座桥梁硬件设施采购及安装项目）</w:t>
      </w:r>
      <w:r>
        <w:rPr>
          <w:rFonts w:eastAsia="方正仿宋_GBK"/>
          <w:color w:val="000000" w:themeColor="text1"/>
          <w:sz w:val="24"/>
          <w:szCs w:val="24"/>
          <w14:textFill>
            <w14:solidFill>
              <w14:schemeClr w14:val="tx1"/>
            </w14:solidFill>
          </w14:textFill>
        </w:rPr>
        <w:t>采购活动的合法代理人，以本单位名义全权处理一切与该项目采购有关的事务。</w:t>
      </w:r>
    </w:p>
    <w:p w14:paraId="4884EDCF">
      <w:pPr>
        <w:pStyle w:val="274"/>
        <w:spacing w:line="480" w:lineRule="exact"/>
        <w:ind w:firstLine="48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本授权书于______年____月____日起生效，特此声明。</w:t>
      </w:r>
    </w:p>
    <w:p w14:paraId="5759635C">
      <w:pPr>
        <w:pStyle w:val="274"/>
        <w:spacing w:line="480" w:lineRule="exact"/>
        <w:ind w:firstLine="480" w:firstLineChars="200"/>
        <w:rPr>
          <w:rFonts w:eastAsia="方正仿宋_GBK"/>
          <w:color w:val="000000" w:themeColor="text1"/>
          <w:sz w:val="24"/>
          <w:szCs w:val="24"/>
          <w14:textFill>
            <w14:solidFill>
              <w14:schemeClr w14:val="tx1"/>
            </w14:solidFill>
          </w14:textFill>
        </w:rPr>
      </w:pPr>
    </w:p>
    <w:p w14:paraId="37FFD3BE">
      <w:pPr>
        <w:pStyle w:val="274"/>
        <w:spacing w:line="480" w:lineRule="exact"/>
        <w:ind w:firstLine="480" w:firstLineChars="200"/>
        <w:rPr>
          <w:rFonts w:hint="eastAsia" w:eastAsia="方正仿宋_GBK"/>
          <w:color w:val="000000" w:themeColor="text1"/>
          <w:sz w:val="24"/>
          <w:szCs w:val="24"/>
          <w:u w:val="none"/>
          <w:lang w:val="en-US" w:eastAsia="zh-CN"/>
          <w14:textFill>
            <w14:solidFill>
              <w14:schemeClr w14:val="tx1"/>
            </w14:solidFill>
          </w14:textFill>
        </w:rPr>
      </w:pPr>
      <w:r>
        <w:rPr>
          <w:rFonts w:eastAsia="方正仿宋_GBK"/>
          <w:color w:val="000000" w:themeColor="text1"/>
          <w:sz w:val="24"/>
          <w:szCs w:val="24"/>
          <w14:textFill>
            <w14:solidFill>
              <w14:schemeClr w14:val="tx1"/>
            </w14:solidFill>
          </w14:textFill>
        </w:rPr>
        <w:t>被授权人身份证号码：</w:t>
      </w:r>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hint="eastAsia" w:eastAsia="方正仿宋_GBK"/>
          <w:color w:val="000000" w:themeColor="text1"/>
          <w:sz w:val="24"/>
          <w:szCs w:val="24"/>
          <w:u w:val="none"/>
          <w:lang w:val="en-US" w:eastAsia="zh-CN"/>
          <w14:textFill>
            <w14:solidFill>
              <w14:schemeClr w14:val="tx1"/>
            </w14:solidFill>
          </w14:textFill>
        </w:rPr>
        <w:t xml:space="preserve"> </w:t>
      </w:r>
    </w:p>
    <w:p w14:paraId="7F4D826C">
      <w:pPr>
        <w:pStyle w:val="274"/>
        <w:spacing w:line="480" w:lineRule="exact"/>
        <w:ind w:firstLine="480" w:firstLineChars="200"/>
        <w:rPr>
          <w:rFonts w:hint="eastAsia" w:eastAsia="方正仿宋_GBK"/>
          <w:color w:val="000000" w:themeColor="text1"/>
          <w:sz w:val="24"/>
          <w:szCs w:val="24"/>
          <w:u w:val="single"/>
          <w:lang w:val="en-US" w:eastAsia="zh-CN"/>
          <w14:textFill>
            <w14:solidFill>
              <w14:schemeClr w14:val="tx1"/>
            </w14:solidFill>
          </w14:textFill>
        </w:rPr>
      </w:pPr>
      <w:r>
        <w:rPr>
          <w:rFonts w:eastAsia="方正仿宋_GBK"/>
          <w:color w:val="000000" w:themeColor="text1"/>
          <w:sz w:val="24"/>
          <w:szCs w:val="24"/>
          <w14:textFill>
            <w14:solidFill>
              <w14:schemeClr w14:val="tx1"/>
            </w14:solidFill>
          </w14:textFill>
        </w:rPr>
        <w:t>被授权人联系电话：（手机）</w:t>
      </w:r>
      <w:r>
        <w:rPr>
          <w:rFonts w:hint="eastAsia" w:eastAsia="方正仿宋_GBK"/>
          <w:color w:val="000000" w:themeColor="text1"/>
          <w:sz w:val="24"/>
          <w:szCs w:val="24"/>
          <w:u w:val="single"/>
          <w:lang w:val="en-US" w:eastAsia="zh-CN"/>
          <w14:textFill>
            <w14:solidFill>
              <w14:schemeClr w14:val="tx1"/>
            </w14:solidFill>
          </w14:textFill>
        </w:rPr>
        <w:t xml:space="preserve">              </w:t>
      </w:r>
    </w:p>
    <w:p w14:paraId="614BB0D1">
      <w:pPr>
        <w:pStyle w:val="274"/>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授权单位名称：</w:t>
      </w:r>
      <w:r>
        <w:rPr>
          <w:rFonts w:eastAsia="方正仿宋_GBK"/>
          <w:color w:val="000000" w:themeColor="text1"/>
          <w:sz w:val="24"/>
          <w:szCs w:val="24"/>
          <w:u w:val="single"/>
          <w14:textFill>
            <w14:solidFill>
              <w14:schemeClr w14:val="tx1"/>
            </w14:solidFill>
          </w14:textFill>
        </w:rPr>
        <w:t>（加盖CA电子公章）</w:t>
      </w:r>
    </w:p>
    <w:p w14:paraId="1AED8D15">
      <w:pPr>
        <w:pStyle w:val="274"/>
        <w:spacing w:line="480" w:lineRule="exact"/>
        <w:ind w:firstLine="480" w:firstLineChars="200"/>
        <w:rPr>
          <w:rFonts w:hint="eastAsia" w:eastAsia="方正仿宋_GBK"/>
          <w:color w:val="000000" w:themeColor="text1"/>
          <w:sz w:val="24"/>
          <w:szCs w:val="24"/>
          <w:u w:val="single"/>
          <w:lang w:val="en-US" w:eastAsia="zh-CN"/>
          <w14:textFill>
            <w14:solidFill>
              <w14:schemeClr w14:val="tx1"/>
            </w14:solidFill>
          </w14:textFill>
        </w:rPr>
      </w:pPr>
      <w:r>
        <w:rPr>
          <w:rFonts w:eastAsia="方正仿宋_GBK"/>
          <w:color w:val="000000" w:themeColor="text1"/>
          <w:sz w:val="24"/>
          <w:szCs w:val="24"/>
          <w14:textFill>
            <w14:solidFill>
              <w14:schemeClr w14:val="tx1"/>
            </w14:solidFill>
          </w14:textFill>
        </w:rPr>
        <w:t>单位地址：</w:t>
      </w:r>
      <w:r>
        <w:rPr>
          <w:rFonts w:hint="eastAsia" w:eastAsia="方正仿宋_GBK"/>
          <w:color w:val="000000" w:themeColor="text1"/>
          <w:sz w:val="24"/>
          <w:szCs w:val="24"/>
          <w:u w:val="single"/>
          <w:lang w:val="en-US" w:eastAsia="zh-CN"/>
          <w14:textFill>
            <w14:solidFill>
              <w14:schemeClr w14:val="tx1"/>
            </w14:solidFill>
          </w14:textFill>
        </w:rPr>
        <w:t xml:space="preserve">                 </w:t>
      </w:r>
    </w:p>
    <w:p w14:paraId="49468307">
      <w:pPr>
        <w:pStyle w:val="274"/>
        <w:spacing w:line="480" w:lineRule="exact"/>
        <w:ind w:firstLine="480" w:firstLineChars="200"/>
        <w:rPr>
          <w:rFonts w:eastAsia="方正仿宋_GBK"/>
          <w:color w:val="000000" w:themeColor="text1"/>
          <w:sz w:val="24"/>
          <w:szCs w:val="20"/>
          <w14:textFill>
            <w14:solidFill>
              <w14:schemeClr w14:val="tx1"/>
            </w14:solidFill>
          </w14:textFill>
        </w:rPr>
      </w:pPr>
      <w:r>
        <w:rPr>
          <w:rFonts w:eastAsia="方正仿宋_GBK"/>
          <w:color w:val="000000" w:themeColor="text1"/>
          <w:sz w:val="24"/>
          <w:szCs w:val="24"/>
          <w14:textFill>
            <w14:solidFill>
              <w14:schemeClr w14:val="tx1"/>
            </w14:solidFill>
          </w14:textFill>
        </w:rPr>
        <w:t>日期：</w:t>
      </w:r>
      <w:bookmarkStart w:id="229" w:name="_格式3__银行出具的资信证明"/>
      <w:bookmarkEnd w:id="229"/>
      <w:bookmarkStart w:id="230" w:name="_Hlt26671380"/>
      <w:bookmarkEnd w:id="230"/>
      <w:bookmarkStart w:id="231" w:name="_Hlt26955070"/>
      <w:bookmarkEnd w:id="231"/>
      <w:r>
        <w:rPr>
          <w:rFonts w:hint="eastAsia" w:eastAsia="方正仿宋_GBK"/>
          <w:color w:val="000000" w:themeColor="text1"/>
          <w:sz w:val="24"/>
          <w:szCs w:val="24"/>
          <w:u w:val="single"/>
          <w:lang w:val="en-US" w:eastAsia="zh-CN"/>
          <w14:textFill>
            <w14:solidFill>
              <w14:schemeClr w14:val="tx1"/>
            </w14:solidFill>
          </w14:textFill>
        </w:rPr>
        <w:t xml:space="preserve">                    </w:t>
      </w:r>
      <w:r>
        <w:rPr>
          <w:rFonts w:eastAsia="方正仿宋_GBK"/>
          <w:color w:val="000000" w:themeColor="text1"/>
          <w14:textFill>
            <w14:solidFill>
              <w14:schemeClr w14:val="tx1"/>
            </w14:solidFill>
          </w14:textFill>
        </w:rPr>
        <w:br w:type="page" w:clear="all"/>
      </w: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五、开标一览表</w:t>
      </w:r>
    </w:p>
    <w:p w14:paraId="7AAF5C29">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投标人全称（加盖CA电子签章）：</w:t>
      </w:r>
    </w:p>
    <w:p w14:paraId="54AD8892">
      <w:pPr>
        <w:spacing w:line="480" w:lineRule="exact"/>
        <w:ind w:firstLine="480" w:firstLineChars="20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项目名称：宿迁市城市生命线二期2024年项目（市级管养三座桥梁硬件设施采购及安装项目）</w:t>
      </w:r>
    </w:p>
    <w:p w14:paraId="357D4F00">
      <w:pPr>
        <w:spacing w:line="480" w:lineRule="exact"/>
        <w:ind w:firstLine="480" w:firstLineChars="200"/>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招标编号：</w:t>
      </w:r>
      <w:r>
        <w:rPr>
          <w:rFonts w:hint="eastAsia" w:eastAsia="方正仿宋_GBK"/>
          <w:color w:val="000000" w:themeColor="text1"/>
          <w:sz w:val="24"/>
          <w:szCs w:val="24"/>
          <w:lang w:eastAsia="zh-CN"/>
          <w14:textFill>
            <w14:solidFill>
              <w14:schemeClr w14:val="tx1"/>
            </w14:solidFill>
          </w14:textFill>
        </w:rPr>
        <w:t>JSZC-321300-SWZX-G2025-0001</w:t>
      </w:r>
      <w:r>
        <w:rPr>
          <w:rFonts w:eastAsia="方正仿宋_GBK"/>
          <w:color w:val="000000" w:themeColor="text1"/>
          <w:sz w:val="24"/>
          <w:szCs w:val="24"/>
          <w14:textFill>
            <w14:solidFill>
              <w14:schemeClr w14:val="tx1"/>
            </w14:solidFill>
          </w14:textFill>
        </w:rPr>
        <w:t xml:space="preserve">  </w:t>
      </w:r>
      <w:r>
        <w:rPr>
          <w:rFonts w:eastAsia="方正仿宋_GBK"/>
          <w:color w:val="000000" w:themeColor="text1"/>
          <w:sz w:val="30"/>
          <w:szCs w:val="30"/>
          <w14:textFill>
            <w14:solidFill>
              <w14:schemeClr w14:val="tx1"/>
            </w14:solidFill>
          </w14:textFill>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2500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vAlign w:val="center"/>
          </w:tcPr>
          <w:p w14:paraId="47ACFDBE">
            <w:pPr>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投标总报价</w:t>
            </w:r>
          </w:p>
        </w:tc>
      </w:tr>
      <w:tr w14:paraId="7F34F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vAlign w:val="center"/>
          </w:tcPr>
          <w:p w14:paraId="1BB1DD3C">
            <w:pPr>
              <w:pStyle w:val="276"/>
              <w:spacing w:before="0" w:after="0" w:line="500" w:lineRule="exact"/>
              <w:ind w:firstLine="0"/>
              <w:rPr>
                <w:rFonts w:ascii="Times New Roman" w:hAnsi="Times New Roman"/>
                <w:color w:val="000000" w:themeColor="text1"/>
                <w:szCs w:val="2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小写：                             （人民币：元）</w:t>
            </w:r>
          </w:p>
        </w:tc>
      </w:tr>
    </w:tbl>
    <w:p w14:paraId="463C7392">
      <w:pPr>
        <w:rPr>
          <w:rFonts w:eastAsia="方正仿宋_GBK"/>
          <w:color w:val="000000" w:themeColor="text1"/>
          <w:sz w:val="24"/>
          <w:szCs w:val="24"/>
          <w14:textFill>
            <w14:solidFill>
              <w14:schemeClr w14:val="tx1"/>
            </w14:solidFill>
          </w14:textFill>
        </w:rPr>
      </w:pPr>
    </w:p>
    <w:p w14:paraId="53C9F26F">
      <w:pPr>
        <w:ind w:firstLine="480"/>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                                        日期：  年月日</w:t>
      </w:r>
    </w:p>
    <w:p w14:paraId="64DCA2AD">
      <w:pPr>
        <w:ind w:firstLine="480"/>
        <w:rPr>
          <w:rFonts w:eastAsia="方正仿宋_GBK"/>
          <w:color w:val="000000" w:themeColor="text1"/>
          <w:sz w:val="24"/>
          <w:szCs w:val="24"/>
          <w14:textFill>
            <w14:solidFill>
              <w14:schemeClr w14:val="tx1"/>
            </w14:solidFill>
          </w14:textFill>
        </w:rPr>
      </w:pPr>
    </w:p>
    <w:p w14:paraId="6A1ECE5B">
      <w:pPr>
        <w:ind w:firstLine="480"/>
        <w:rPr>
          <w:rFonts w:eastAsia="方正仿宋_GBK"/>
          <w:color w:val="000000" w:themeColor="text1"/>
          <w:sz w:val="24"/>
          <w:szCs w:val="24"/>
          <w14:textFill>
            <w14:solidFill>
              <w14:schemeClr w14:val="tx1"/>
            </w14:solidFill>
          </w14:textFill>
        </w:rPr>
      </w:pPr>
    </w:p>
    <w:p w14:paraId="58E10A75">
      <w:pPr>
        <w:ind w:firstLine="480"/>
        <w:rPr>
          <w:rFonts w:eastAsia="方正仿宋_GBK"/>
          <w:color w:val="000000" w:themeColor="text1"/>
          <w:sz w:val="24"/>
          <w:szCs w:val="24"/>
          <w14:textFill>
            <w14:solidFill>
              <w14:schemeClr w14:val="tx1"/>
            </w14:solidFill>
          </w14:textFill>
        </w:rPr>
      </w:pPr>
    </w:p>
    <w:p w14:paraId="318F37F2">
      <w:pPr>
        <w:jc w:val="center"/>
        <w:rPr>
          <w:rFonts w:eastAsia="方正仿宋_GBK"/>
          <w:bCs/>
          <w:color w:val="000000" w:themeColor="text1"/>
          <w:sz w:val="24"/>
          <w14:textFill>
            <w14:solidFill>
              <w14:schemeClr w14:val="tx1"/>
            </w14:solidFill>
          </w14:textFill>
        </w:rPr>
      </w:pPr>
    </w:p>
    <w:p w14:paraId="4E648CCB">
      <w:pPr>
        <w:jc w:val="center"/>
        <w:rPr>
          <w:rFonts w:eastAsia="方正仿宋_GBK"/>
          <w:bCs/>
          <w:color w:val="000000" w:themeColor="text1"/>
          <w:sz w:val="24"/>
          <w14:textFill>
            <w14:solidFill>
              <w14:schemeClr w14:val="tx1"/>
            </w14:solidFill>
          </w14:textFill>
        </w:rPr>
      </w:pPr>
    </w:p>
    <w:p w14:paraId="5E28C42D">
      <w:pPr>
        <w:jc w:val="center"/>
        <w:rPr>
          <w:rFonts w:eastAsia="方正仿宋_GBK"/>
          <w:bCs/>
          <w:color w:val="000000" w:themeColor="text1"/>
          <w:sz w:val="24"/>
          <w14:textFill>
            <w14:solidFill>
              <w14:schemeClr w14:val="tx1"/>
            </w14:solidFill>
          </w14:textFill>
        </w:rPr>
      </w:pPr>
    </w:p>
    <w:p w14:paraId="146F70B6">
      <w:pPr>
        <w:jc w:val="center"/>
        <w:rPr>
          <w:rFonts w:eastAsia="方正仿宋_GBK"/>
          <w:bCs/>
          <w:color w:val="000000" w:themeColor="text1"/>
          <w:sz w:val="24"/>
          <w14:textFill>
            <w14:solidFill>
              <w14:schemeClr w14:val="tx1"/>
            </w14:solidFill>
          </w14:textFill>
        </w:rPr>
      </w:pPr>
    </w:p>
    <w:p w14:paraId="7608F64B">
      <w:pPr>
        <w:jc w:val="center"/>
        <w:rPr>
          <w:rFonts w:eastAsia="方正仿宋_GBK"/>
          <w:bCs/>
          <w:color w:val="000000" w:themeColor="text1"/>
          <w:sz w:val="24"/>
          <w14:textFill>
            <w14:solidFill>
              <w14:schemeClr w14:val="tx1"/>
            </w14:solidFill>
          </w14:textFill>
        </w:rPr>
      </w:pPr>
    </w:p>
    <w:p w14:paraId="05F52FF1">
      <w:pPr>
        <w:jc w:val="center"/>
        <w:rPr>
          <w:rFonts w:eastAsia="方正仿宋_GBK"/>
          <w:bCs/>
          <w:color w:val="000000" w:themeColor="text1"/>
          <w:sz w:val="24"/>
          <w14:textFill>
            <w14:solidFill>
              <w14:schemeClr w14:val="tx1"/>
            </w14:solidFill>
          </w14:textFill>
        </w:rPr>
      </w:pPr>
    </w:p>
    <w:p w14:paraId="0DD707B3">
      <w:pPr>
        <w:jc w:val="center"/>
        <w:rPr>
          <w:rFonts w:eastAsia="方正仿宋_GBK"/>
          <w:bCs/>
          <w:color w:val="000000" w:themeColor="text1"/>
          <w:sz w:val="24"/>
          <w14:textFill>
            <w14:solidFill>
              <w14:schemeClr w14:val="tx1"/>
            </w14:solidFill>
          </w14:textFill>
        </w:rPr>
      </w:pPr>
    </w:p>
    <w:p w14:paraId="52051557">
      <w:pPr>
        <w:jc w:val="center"/>
        <w:rPr>
          <w:rFonts w:eastAsia="方正仿宋_GBK"/>
          <w:bCs/>
          <w:color w:val="000000" w:themeColor="text1"/>
          <w:sz w:val="24"/>
          <w14:textFill>
            <w14:solidFill>
              <w14:schemeClr w14:val="tx1"/>
            </w14:solidFill>
          </w14:textFill>
        </w:rPr>
      </w:pPr>
    </w:p>
    <w:p w14:paraId="25922038">
      <w:pPr>
        <w:jc w:val="center"/>
        <w:rPr>
          <w:rFonts w:eastAsia="方正仿宋_GBK"/>
          <w:bCs/>
          <w:color w:val="000000" w:themeColor="text1"/>
          <w:sz w:val="24"/>
          <w14:textFill>
            <w14:solidFill>
              <w14:schemeClr w14:val="tx1"/>
            </w14:solidFill>
          </w14:textFill>
        </w:rPr>
      </w:pPr>
    </w:p>
    <w:p w14:paraId="6EBBDB61">
      <w:pPr>
        <w:jc w:val="center"/>
        <w:rPr>
          <w:rFonts w:eastAsia="方正仿宋_GBK"/>
          <w:bCs/>
          <w:color w:val="000000" w:themeColor="text1"/>
          <w:sz w:val="24"/>
          <w14:textFill>
            <w14:solidFill>
              <w14:schemeClr w14:val="tx1"/>
            </w14:solidFill>
          </w14:textFill>
        </w:rPr>
      </w:pPr>
    </w:p>
    <w:p w14:paraId="0160FA1C">
      <w:pPr>
        <w:jc w:val="center"/>
        <w:rPr>
          <w:rFonts w:eastAsia="方正仿宋_GBK"/>
          <w:bCs/>
          <w:color w:val="000000" w:themeColor="text1"/>
          <w:sz w:val="24"/>
          <w14:textFill>
            <w14:solidFill>
              <w14:schemeClr w14:val="tx1"/>
            </w14:solidFill>
          </w14:textFill>
        </w:rPr>
      </w:pPr>
    </w:p>
    <w:p w14:paraId="1F27C043">
      <w:pPr>
        <w:jc w:val="center"/>
        <w:rPr>
          <w:rFonts w:eastAsia="方正仿宋_GBK"/>
          <w:bCs/>
          <w:color w:val="000000" w:themeColor="text1"/>
          <w:sz w:val="24"/>
          <w14:textFill>
            <w14:solidFill>
              <w14:schemeClr w14:val="tx1"/>
            </w14:solidFill>
          </w14:textFill>
        </w:rPr>
      </w:pPr>
    </w:p>
    <w:p w14:paraId="7A8A11BD">
      <w:pPr>
        <w:jc w:val="center"/>
        <w:rPr>
          <w:rFonts w:eastAsia="方正仿宋_GBK"/>
          <w:bCs/>
          <w:color w:val="000000" w:themeColor="text1"/>
          <w:sz w:val="24"/>
          <w14:textFill>
            <w14:solidFill>
              <w14:schemeClr w14:val="tx1"/>
            </w14:solidFill>
          </w14:textFill>
        </w:rPr>
      </w:pPr>
    </w:p>
    <w:p w14:paraId="687A656D">
      <w:pPr>
        <w:jc w:val="center"/>
        <w:rPr>
          <w:rFonts w:eastAsia="方正仿宋_GBK"/>
          <w:bCs/>
          <w:color w:val="000000" w:themeColor="text1"/>
          <w:sz w:val="24"/>
          <w14:textFill>
            <w14:solidFill>
              <w14:schemeClr w14:val="tx1"/>
            </w14:solidFill>
          </w14:textFill>
        </w:rPr>
      </w:pPr>
    </w:p>
    <w:p w14:paraId="275CC4F9">
      <w:pPr>
        <w:jc w:val="center"/>
        <w:rPr>
          <w:rFonts w:eastAsia="方正仿宋_GBK"/>
          <w:bCs/>
          <w:color w:val="000000" w:themeColor="text1"/>
          <w:sz w:val="24"/>
          <w14:textFill>
            <w14:solidFill>
              <w14:schemeClr w14:val="tx1"/>
            </w14:solidFill>
          </w14:textFill>
        </w:rPr>
      </w:pPr>
    </w:p>
    <w:p w14:paraId="2B809B22">
      <w:pPr>
        <w:jc w:val="center"/>
        <w:rPr>
          <w:rFonts w:eastAsia="方正仿宋_GBK"/>
          <w:bCs/>
          <w:color w:val="000000" w:themeColor="text1"/>
          <w:sz w:val="24"/>
          <w14:textFill>
            <w14:solidFill>
              <w14:schemeClr w14:val="tx1"/>
            </w14:solidFill>
          </w14:textFill>
        </w:rPr>
      </w:pPr>
    </w:p>
    <w:p w14:paraId="263857B6">
      <w:pPr>
        <w:jc w:val="center"/>
        <w:rPr>
          <w:rFonts w:eastAsia="方正仿宋_GBK"/>
          <w:bCs/>
          <w:color w:val="000000" w:themeColor="text1"/>
          <w:sz w:val="24"/>
          <w14:textFill>
            <w14:solidFill>
              <w14:schemeClr w14:val="tx1"/>
            </w14:solidFill>
          </w14:textFill>
        </w:rPr>
      </w:pPr>
    </w:p>
    <w:p w14:paraId="1CCFB1C2">
      <w:pPr>
        <w:jc w:val="center"/>
        <w:rPr>
          <w:rFonts w:eastAsia="方正仿宋_GBK"/>
          <w:bCs/>
          <w:color w:val="000000" w:themeColor="text1"/>
          <w:sz w:val="24"/>
          <w14:textFill>
            <w14:solidFill>
              <w14:schemeClr w14:val="tx1"/>
            </w14:solidFill>
          </w14:textFill>
        </w:rPr>
      </w:pPr>
    </w:p>
    <w:p w14:paraId="0F1DC5F6">
      <w:pPr>
        <w:jc w:val="center"/>
        <w:rPr>
          <w:rFonts w:eastAsia="方正仿宋_GBK"/>
          <w:bCs/>
          <w:color w:val="000000" w:themeColor="text1"/>
          <w:sz w:val="24"/>
          <w14:textFill>
            <w14:solidFill>
              <w14:schemeClr w14:val="tx1"/>
            </w14:solidFill>
          </w14:textFill>
        </w:rPr>
      </w:pPr>
    </w:p>
    <w:p w14:paraId="1D76DCA6">
      <w:pPr>
        <w:jc w:val="center"/>
        <w:rPr>
          <w:rFonts w:eastAsia="方正仿宋_GBK"/>
          <w:bCs/>
          <w:color w:val="000000" w:themeColor="text1"/>
          <w:sz w:val="24"/>
          <w14:textFill>
            <w14:solidFill>
              <w14:schemeClr w14:val="tx1"/>
            </w14:solidFill>
          </w14:textFill>
        </w:rPr>
      </w:pPr>
    </w:p>
    <w:p w14:paraId="21A9B043">
      <w:pPr>
        <w:jc w:val="center"/>
        <w:rPr>
          <w:rFonts w:eastAsia="方正仿宋_GBK"/>
          <w:bCs/>
          <w:color w:val="000000" w:themeColor="text1"/>
          <w:sz w:val="24"/>
          <w14:textFill>
            <w14:solidFill>
              <w14:schemeClr w14:val="tx1"/>
            </w14:solidFill>
          </w14:textFill>
        </w:rPr>
      </w:pPr>
    </w:p>
    <w:p w14:paraId="20C58AFE">
      <w:pPr>
        <w:jc w:val="center"/>
        <w:rPr>
          <w:rFonts w:eastAsia="方正仿宋_GBK"/>
          <w:bCs/>
          <w:color w:val="000000" w:themeColor="text1"/>
          <w:sz w:val="24"/>
          <w14:textFill>
            <w14:solidFill>
              <w14:schemeClr w14:val="tx1"/>
            </w14:solidFill>
          </w14:textFill>
        </w:rPr>
      </w:pPr>
    </w:p>
    <w:p w14:paraId="332D26AD">
      <w:pPr>
        <w:jc w:val="center"/>
        <w:rPr>
          <w:rFonts w:eastAsia="方正仿宋_GBK"/>
          <w:bCs/>
          <w:color w:val="000000" w:themeColor="text1"/>
          <w:sz w:val="24"/>
          <w14:textFill>
            <w14:solidFill>
              <w14:schemeClr w14:val="tx1"/>
            </w14:solidFill>
          </w14:textFill>
        </w:rPr>
      </w:pPr>
    </w:p>
    <w:p w14:paraId="736CB49A">
      <w:pPr>
        <w:jc w:val="center"/>
        <w:rPr>
          <w:rFonts w:eastAsia="方正仿宋_GBK"/>
          <w:bCs/>
          <w:color w:val="000000" w:themeColor="text1"/>
          <w:sz w:val="24"/>
          <w14:textFill>
            <w14:solidFill>
              <w14:schemeClr w14:val="tx1"/>
            </w14:solidFill>
          </w14:textFill>
        </w:rPr>
      </w:pPr>
    </w:p>
    <w:p w14:paraId="09DC8A06">
      <w:pPr>
        <w:jc w:val="center"/>
        <w:rPr>
          <w:rFonts w:eastAsia="方正仿宋_GBK"/>
          <w:bCs/>
          <w:color w:val="000000" w:themeColor="text1"/>
          <w:sz w:val="24"/>
          <w14:textFill>
            <w14:solidFill>
              <w14:schemeClr w14:val="tx1"/>
            </w14:solidFill>
          </w14:textFill>
        </w:rPr>
      </w:pPr>
    </w:p>
    <w:p w14:paraId="1BB27568">
      <w:pPr>
        <w:pStyle w:val="38"/>
        <w:rPr>
          <w:rFonts w:ascii="Times New Roman" w:hAnsi="Times New Roman" w:eastAsia="方正仿宋_GBK"/>
          <w:bCs/>
          <w:color w:val="000000" w:themeColor="text1"/>
          <w:sz w:val="24"/>
          <w14:textFill>
            <w14:solidFill>
              <w14:schemeClr w14:val="tx1"/>
            </w14:solidFill>
          </w14:textFill>
        </w:rPr>
      </w:pPr>
    </w:p>
    <w:p w14:paraId="77CC8202">
      <w:pPr>
        <w:pStyle w:val="38"/>
        <w:rPr>
          <w:rFonts w:ascii="Times New Roman" w:hAnsi="Times New Roman" w:eastAsia="方正仿宋_GBK"/>
          <w:bCs/>
          <w:color w:val="000000" w:themeColor="text1"/>
          <w:sz w:val="24"/>
          <w14:textFill>
            <w14:solidFill>
              <w14:schemeClr w14:val="tx1"/>
            </w14:solidFill>
          </w14:textFill>
        </w:rPr>
      </w:pPr>
    </w:p>
    <w:p w14:paraId="215F2045">
      <w:pPr>
        <w:pStyle w:val="38"/>
        <w:rPr>
          <w:rFonts w:ascii="Times New Roman" w:hAnsi="Times New Roman" w:eastAsia="方正仿宋_GBK"/>
          <w:bCs/>
          <w:color w:val="000000" w:themeColor="text1"/>
          <w:sz w:val="24"/>
          <w14:textFill>
            <w14:solidFill>
              <w14:schemeClr w14:val="tx1"/>
            </w14:solidFill>
          </w14:textFill>
        </w:rPr>
      </w:pPr>
    </w:p>
    <w:p w14:paraId="51AE8DEC">
      <w:pPr>
        <w:pStyle w:val="38"/>
        <w:rPr>
          <w:rFonts w:ascii="Times New Roman" w:hAnsi="Times New Roman" w:eastAsia="方正仿宋_GBK"/>
          <w:bCs/>
          <w:color w:val="000000" w:themeColor="text1"/>
          <w:sz w:val="24"/>
          <w14:textFill>
            <w14:solidFill>
              <w14:schemeClr w14:val="tx1"/>
            </w14:solidFill>
          </w14:textFill>
        </w:rPr>
      </w:pPr>
    </w:p>
    <w:p w14:paraId="43AAF761">
      <w:pPr>
        <w:pStyle w:val="274"/>
        <w:spacing w:line="480" w:lineRule="exact"/>
        <w:ind w:left="0" w:leftChars="0" w:firstLine="0" w:firstLineChars="0"/>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 xml:space="preserve">六、投标分项报价表 </w:t>
      </w:r>
    </w:p>
    <w:tbl>
      <w:tblPr>
        <w:tblStyle w:val="31"/>
        <w:tblW w:w="92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036"/>
        <w:gridCol w:w="966"/>
        <w:gridCol w:w="1049"/>
        <w:gridCol w:w="888"/>
        <w:gridCol w:w="1012"/>
        <w:gridCol w:w="725"/>
        <w:gridCol w:w="1088"/>
        <w:gridCol w:w="1062"/>
        <w:gridCol w:w="863"/>
      </w:tblGrid>
      <w:tr w14:paraId="20D6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556" w:type="dxa"/>
          </w:tcPr>
          <w:p w14:paraId="4425ACC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序号</w:t>
            </w:r>
          </w:p>
        </w:tc>
        <w:tc>
          <w:tcPr>
            <w:tcW w:w="1036" w:type="dxa"/>
            <w:vAlign w:val="center"/>
          </w:tcPr>
          <w:p w14:paraId="6B440535">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p>
        </w:tc>
        <w:tc>
          <w:tcPr>
            <w:tcW w:w="966" w:type="dxa"/>
            <w:vAlign w:val="center"/>
          </w:tcPr>
          <w:p w14:paraId="61A4D8C6">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w:t>
            </w:r>
          </w:p>
        </w:tc>
        <w:tc>
          <w:tcPr>
            <w:tcW w:w="1049" w:type="dxa"/>
            <w:vAlign w:val="center"/>
          </w:tcPr>
          <w:p w14:paraId="250D20BE">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w:t>
            </w:r>
          </w:p>
        </w:tc>
        <w:tc>
          <w:tcPr>
            <w:tcW w:w="888" w:type="dxa"/>
            <w:vAlign w:val="center"/>
          </w:tcPr>
          <w:p w14:paraId="41B204AD">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w:t>
            </w:r>
          </w:p>
        </w:tc>
        <w:tc>
          <w:tcPr>
            <w:tcW w:w="1012" w:type="dxa"/>
            <w:vAlign w:val="center"/>
          </w:tcPr>
          <w:p w14:paraId="4A91A68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5</w:t>
            </w:r>
          </w:p>
        </w:tc>
        <w:tc>
          <w:tcPr>
            <w:tcW w:w="725" w:type="dxa"/>
            <w:vAlign w:val="center"/>
          </w:tcPr>
          <w:p w14:paraId="3CF8A07E">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6</w:t>
            </w:r>
          </w:p>
        </w:tc>
        <w:tc>
          <w:tcPr>
            <w:tcW w:w="1088" w:type="dxa"/>
            <w:vAlign w:val="center"/>
          </w:tcPr>
          <w:p w14:paraId="7FD864A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7</w:t>
            </w:r>
          </w:p>
        </w:tc>
        <w:tc>
          <w:tcPr>
            <w:tcW w:w="1062" w:type="dxa"/>
            <w:vAlign w:val="center"/>
          </w:tcPr>
          <w:p w14:paraId="47CD8EF8">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8</w:t>
            </w:r>
          </w:p>
        </w:tc>
        <w:tc>
          <w:tcPr>
            <w:tcW w:w="863" w:type="dxa"/>
            <w:vAlign w:val="center"/>
          </w:tcPr>
          <w:p w14:paraId="5E76986D">
            <w:pPr>
              <w:spacing w:line="0" w:lineRule="atLeast"/>
              <w:jc w:val="center"/>
              <w:rPr>
                <w:rFonts w:hint="eastAsia" w:eastAsia="方正仿宋_GBK"/>
                <w:color w:val="000000" w:themeColor="text1"/>
                <w:sz w:val="24"/>
                <w:szCs w:val="24"/>
                <w:lang w:eastAsia="zh-CN"/>
                <w14:textFill>
                  <w14:solidFill>
                    <w14:schemeClr w14:val="tx1"/>
                  </w14:solidFill>
                </w14:textFill>
              </w:rPr>
            </w:pPr>
            <w:r>
              <w:rPr>
                <w:rFonts w:hint="eastAsia" w:eastAsia="方正仿宋_GBK"/>
                <w:color w:val="000000" w:themeColor="text1"/>
                <w:sz w:val="24"/>
                <w:szCs w:val="24"/>
                <w:lang w:val="en-US" w:eastAsia="zh-CN"/>
                <w14:textFill>
                  <w14:solidFill>
                    <w14:schemeClr w14:val="tx1"/>
                  </w14:solidFill>
                </w14:textFill>
              </w:rPr>
              <w:t>9</w:t>
            </w:r>
          </w:p>
        </w:tc>
      </w:tr>
      <w:tr w14:paraId="0750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trPr>
        <w:tc>
          <w:tcPr>
            <w:tcW w:w="556" w:type="dxa"/>
            <w:vAlign w:val="center"/>
          </w:tcPr>
          <w:p w14:paraId="36353F69">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p>
        </w:tc>
        <w:tc>
          <w:tcPr>
            <w:tcW w:w="1036" w:type="dxa"/>
            <w:vAlign w:val="center"/>
          </w:tcPr>
          <w:p w14:paraId="067D3393">
            <w:pPr>
              <w:spacing w:line="0" w:lineRule="atLeast"/>
              <w:jc w:val="center"/>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产品</w:t>
            </w:r>
          </w:p>
          <w:p w14:paraId="6F9AED90">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名称</w:t>
            </w:r>
          </w:p>
        </w:tc>
        <w:tc>
          <w:tcPr>
            <w:tcW w:w="966" w:type="dxa"/>
            <w:vAlign w:val="center"/>
          </w:tcPr>
          <w:p w14:paraId="0AF9C484">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品牌</w:t>
            </w:r>
          </w:p>
        </w:tc>
        <w:tc>
          <w:tcPr>
            <w:tcW w:w="1049" w:type="dxa"/>
            <w:vAlign w:val="center"/>
          </w:tcPr>
          <w:p w14:paraId="0C359B4D">
            <w:pPr>
              <w:spacing w:line="0" w:lineRule="atLeast"/>
              <w:jc w:val="center"/>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规格</w:t>
            </w:r>
          </w:p>
          <w:p w14:paraId="45B6D16A">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型号</w:t>
            </w:r>
          </w:p>
        </w:tc>
        <w:tc>
          <w:tcPr>
            <w:tcW w:w="888" w:type="dxa"/>
            <w:vAlign w:val="center"/>
          </w:tcPr>
          <w:p w14:paraId="3BF26498">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产地</w:t>
            </w:r>
          </w:p>
        </w:tc>
        <w:tc>
          <w:tcPr>
            <w:tcW w:w="1012" w:type="dxa"/>
            <w:vAlign w:val="center"/>
          </w:tcPr>
          <w:p w14:paraId="10877716">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交付期</w:t>
            </w:r>
          </w:p>
        </w:tc>
        <w:tc>
          <w:tcPr>
            <w:tcW w:w="725" w:type="dxa"/>
            <w:vAlign w:val="center"/>
          </w:tcPr>
          <w:p w14:paraId="7A2F9CB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数量</w:t>
            </w:r>
          </w:p>
        </w:tc>
        <w:tc>
          <w:tcPr>
            <w:tcW w:w="1088" w:type="dxa"/>
            <w:vAlign w:val="center"/>
          </w:tcPr>
          <w:p w14:paraId="155B6C78">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分项单价</w:t>
            </w:r>
          </w:p>
        </w:tc>
        <w:tc>
          <w:tcPr>
            <w:tcW w:w="1062" w:type="dxa"/>
            <w:vAlign w:val="center"/>
          </w:tcPr>
          <w:p w14:paraId="77F14A5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分项总价</w:t>
            </w:r>
          </w:p>
        </w:tc>
        <w:tc>
          <w:tcPr>
            <w:tcW w:w="863" w:type="dxa"/>
            <w:vAlign w:val="center"/>
          </w:tcPr>
          <w:p w14:paraId="1723543B">
            <w:pPr>
              <w:spacing w:line="0" w:lineRule="atLeast"/>
              <w:jc w:val="center"/>
              <w:rPr>
                <w:rFonts w:eastAsia="方正仿宋_GBK"/>
                <w:color w:val="000000" w:themeColor="text1"/>
                <w:sz w:val="24"/>
                <w:szCs w:val="24"/>
                <w14:textFill>
                  <w14:solidFill>
                    <w14:schemeClr w14:val="tx1"/>
                  </w14:solidFill>
                </w14:textFill>
              </w:rPr>
            </w:pPr>
            <w:r>
              <w:rPr>
                <w:rFonts w:hint="eastAsia" w:eastAsia="方正仿宋_GBK"/>
                <w:color w:val="000000" w:themeColor="text1"/>
                <w:sz w:val="24"/>
                <w:szCs w:val="24"/>
                <w:lang w:eastAsia="zh-CN"/>
                <w14:textFill>
                  <w14:solidFill>
                    <w14:schemeClr w14:val="tx1"/>
                  </w14:solidFill>
                </w14:textFill>
              </w:rPr>
              <w:t>备注</w:t>
            </w:r>
          </w:p>
        </w:tc>
      </w:tr>
      <w:tr w14:paraId="5A29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trPr>
        <w:tc>
          <w:tcPr>
            <w:tcW w:w="556" w:type="dxa"/>
            <w:vAlign w:val="center"/>
          </w:tcPr>
          <w:p w14:paraId="21BD57F9">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2</w:t>
            </w:r>
          </w:p>
        </w:tc>
        <w:tc>
          <w:tcPr>
            <w:tcW w:w="1036" w:type="dxa"/>
            <w:vAlign w:val="center"/>
          </w:tcPr>
          <w:p w14:paraId="0B31D16F">
            <w:pPr>
              <w:spacing w:line="0" w:lineRule="atLeast"/>
              <w:rPr>
                <w:color w:val="000000" w:themeColor="text1"/>
                <w:sz w:val="24"/>
                <w:szCs w:val="24"/>
                <w14:textFill>
                  <w14:solidFill>
                    <w14:schemeClr w14:val="tx1"/>
                  </w14:solidFill>
                </w14:textFill>
              </w:rPr>
            </w:pPr>
          </w:p>
        </w:tc>
        <w:tc>
          <w:tcPr>
            <w:tcW w:w="966" w:type="dxa"/>
            <w:vAlign w:val="center"/>
          </w:tcPr>
          <w:p w14:paraId="5566A18F">
            <w:pPr>
              <w:spacing w:line="0" w:lineRule="atLeast"/>
              <w:rPr>
                <w:color w:val="000000" w:themeColor="text1"/>
                <w:sz w:val="24"/>
                <w:szCs w:val="24"/>
                <w14:textFill>
                  <w14:solidFill>
                    <w14:schemeClr w14:val="tx1"/>
                  </w14:solidFill>
                </w14:textFill>
              </w:rPr>
            </w:pPr>
          </w:p>
        </w:tc>
        <w:tc>
          <w:tcPr>
            <w:tcW w:w="1049" w:type="dxa"/>
            <w:vAlign w:val="center"/>
          </w:tcPr>
          <w:p w14:paraId="01925FA2">
            <w:pPr>
              <w:spacing w:line="0" w:lineRule="atLeast"/>
              <w:rPr>
                <w:color w:val="000000" w:themeColor="text1"/>
                <w:sz w:val="24"/>
                <w:szCs w:val="24"/>
                <w14:textFill>
                  <w14:solidFill>
                    <w14:schemeClr w14:val="tx1"/>
                  </w14:solidFill>
                </w14:textFill>
              </w:rPr>
            </w:pPr>
          </w:p>
        </w:tc>
        <w:tc>
          <w:tcPr>
            <w:tcW w:w="888" w:type="dxa"/>
            <w:vAlign w:val="center"/>
          </w:tcPr>
          <w:p w14:paraId="1297B0D3">
            <w:pPr>
              <w:spacing w:line="0" w:lineRule="atLeast"/>
              <w:rPr>
                <w:color w:val="000000" w:themeColor="text1"/>
                <w:sz w:val="24"/>
                <w:szCs w:val="24"/>
                <w14:textFill>
                  <w14:solidFill>
                    <w14:schemeClr w14:val="tx1"/>
                  </w14:solidFill>
                </w14:textFill>
              </w:rPr>
            </w:pPr>
          </w:p>
        </w:tc>
        <w:tc>
          <w:tcPr>
            <w:tcW w:w="1012" w:type="dxa"/>
            <w:vAlign w:val="center"/>
          </w:tcPr>
          <w:p w14:paraId="3D181D32">
            <w:pPr>
              <w:spacing w:line="0" w:lineRule="atLeast"/>
              <w:rPr>
                <w:color w:val="000000" w:themeColor="text1"/>
                <w:sz w:val="24"/>
                <w:szCs w:val="24"/>
                <w14:textFill>
                  <w14:solidFill>
                    <w14:schemeClr w14:val="tx1"/>
                  </w14:solidFill>
                </w14:textFill>
              </w:rPr>
            </w:pPr>
          </w:p>
        </w:tc>
        <w:tc>
          <w:tcPr>
            <w:tcW w:w="725" w:type="dxa"/>
            <w:vAlign w:val="center"/>
          </w:tcPr>
          <w:p w14:paraId="7123EBE8">
            <w:pPr>
              <w:spacing w:line="0" w:lineRule="atLeast"/>
              <w:rPr>
                <w:color w:val="000000" w:themeColor="text1"/>
                <w:sz w:val="24"/>
                <w:szCs w:val="24"/>
                <w14:textFill>
                  <w14:solidFill>
                    <w14:schemeClr w14:val="tx1"/>
                  </w14:solidFill>
                </w14:textFill>
              </w:rPr>
            </w:pPr>
          </w:p>
        </w:tc>
        <w:tc>
          <w:tcPr>
            <w:tcW w:w="1088" w:type="dxa"/>
            <w:vAlign w:val="center"/>
          </w:tcPr>
          <w:p w14:paraId="7B9D6DB6">
            <w:pPr>
              <w:spacing w:line="0" w:lineRule="atLeast"/>
              <w:rPr>
                <w:color w:val="000000" w:themeColor="text1"/>
                <w:sz w:val="24"/>
                <w:szCs w:val="24"/>
                <w14:textFill>
                  <w14:solidFill>
                    <w14:schemeClr w14:val="tx1"/>
                  </w14:solidFill>
                </w14:textFill>
              </w:rPr>
            </w:pPr>
          </w:p>
        </w:tc>
        <w:tc>
          <w:tcPr>
            <w:tcW w:w="1062" w:type="dxa"/>
            <w:vAlign w:val="center"/>
          </w:tcPr>
          <w:p w14:paraId="7E07D47D">
            <w:pPr>
              <w:spacing w:line="0" w:lineRule="atLeast"/>
              <w:rPr>
                <w:color w:val="000000" w:themeColor="text1"/>
                <w:sz w:val="24"/>
                <w:szCs w:val="24"/>
                <w14:textFill>
                  <w14:solidFill>
                    <w14:schemeClr w14:val="tx1"/>
                  </w14:solidFill>
                </w14:textFill>
              </w:rPr>
            </w:pPr>
          </w:p>
        </w:tc>
        <w:tc>
          <w:tcPr>
            <w:tcW w:w="863" w:type="dxa"/>
            <w:vAlign w:val="center"/>
          </w:tcPr>
          <w:p w14:paraId="4238E3B5">
            <w:pPr>
              <w:spacing w:line="0" w:lineRule="atLeast"/>
              <w:rPr>
                <w:color w:val="000000" w:themeColor="text1"/>
                <w:sz w:val="24"/>
                <w:szCs w:val="24"/>
                <w14:textFill>
                  <w14:solidFill>
                    <w14:schemeClr w14:val="tx1"/>
                  </w14:solidFill>
                </w14:textFill>
              </w:rPr>
            </w:pPr>
          </w:p>
        </w:tc>
      </w:tr>
      <w:tr w14:paraId="3784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trPr>
        <w:tc>
          <w:tcPr>
            <w:tcW w:w="556" w:type="dxa"/>
            <w:vAlign w:val="center"/>
          </w:tcPr>
          <w:p w14:paraId="38A2CD43">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3</w:t>
            </w:r>
          </w:p>
        </w:tc>
        <w:tc>
          <w:tcPr>
            <w:tcW w:w="1036" w:type="dxa"/>
            <w:vAlign w:val="center"/>
          </w:tcPr>
          <w:p w14:paraId="3B54D969">
            <w:pPr>
              <w:spacing w:line="0" w:lineRule="atLeast"/>
              <w:rPr>
                <w:color w:val="000000" w:themeColor="text1"/>
                <w:sz w:val="24"/>
                <w:szCs w:val="24"/>
                <w14:textFill>
                  <w14:solidFill>
                    <w14:schemeClr w14:val="tx1"/>
                  </w14:solidFill>
                </w14:textFill>
              </w:rPr>
            </w:pPr>
          </w:p>
        </w:tc>
        <w:tc>
          <w:tcPr>
            <w:tcW w:w="966" w:type="dxa"/>
            <w:vAlign w:val="center"/>
          </w:tcPr>
          <w:p w14:paraId="2B9A4C93">
            <w:pPr>
              <w:spacing w:line="0" w:lineRule="atLeast"/>
              <w:rPr>
                <w:color w:val="000000" w:themeColor="text1"/>
                <w:sz w:val="24"/>
                <w:szCs w:val="24"/>
                <w14:textFill>
                  <w14:solidFill>
                    <w14:schemeClr w14:val="tx1"/>
                  </w14:solidFill>
                </w14:textFill>
              </w:rPr>
            </w:pPr>
          </w:p>
        </w:tc>
        <w:tc>
          <w:tcPr>
            <w:tcW w:w="1049" w:type="dxa"/>
            <w:vAlign w:val="center"/>
          </w:tcPr>
          <w:p w14:paraId="3E95E9B3">
            <w:pPr>
              <w:spacing w:line="0" w:lineRule="atLeast"/>
              <w:rPr>
                <w:color w:val="000000" w:themeColor="text1"/>
                <w:sz w:val="24"/>
                <w:szCs w:val="24"/>
                <w14:textFill>
                  <w14:solidFill>
                    <w14:schemeClr w14:val="tx1"/>
                  </w14:solidFill>
                </w14:textFill>
              </w:rPr>
            </w:pPr>
          </w:p>
        </w:tc>
        <w:tc>
          <w:tcPr>
            <w:tcW w:w="888" w:type="dxa"/>
            <w:vAlign w:val="center"/>
          </w:tcPr>
          <w:p w14:paraId="1FEB56BF">
            <w:pPr>
              <w:spacing w:line="0" w:lineRule="atLeast"/>
              <w:rPr>
                <w:color w:val="000000" w:themeColor="text1"/>
                <w:sz w:val="24"/>
                <w:szCs w:val="24"/>
                <w14:textFill>
                  <w14:solidFill>
                    <w14:schemeClr w14:val="tx1"/>
                  </w14:solidFill>
                </w14:textFill>
              </w:rPr>
            </w:pPr>
          </w:p>
        </w:tc>
        <w:tc>
          <w:tcPr>
            <w:tcW w:w="1012" w:type="dxa"/>
            <w:vAlign w:val="center"/>
          </w:tcPr>
          <w:p w14:paraId="5C912130">
            <w:pPr>
              <w:spacing w:line="0" w:lineRule="atLeast"/>
              <w:rPr>
                <w:color w:val="000000" w:themeColor="text1"/>
                <w:sz w:val="24"/>
                <w:szCs w:val="24"/>
                <w14:textFill>
                  <w14:solidFill>
                    <w14:schemeClr w14:val="tx1"/>
                  </w14:solidFill>
                </w14:textFill>
              </w:rPr>
            </w:pPr>
          </w:p>
        </w:tc>
        <w:tc>
          <w:tcPr>
            <w:tcW w:w="725" w:type="dxa"/>
            <w:vAlign w:val="center"/>
          </w:tcPr>
          <w:p w14:paraId="0BB58AFA">
            <w:pPr>
              <w:spacing w:line="0" w:lineRule="atLeast"/>
              <w:rPr>
                <w:color w:val="000000" w:themeColor="text1"/>
                <w:sz w:val="24"/>
                <w:szCs w:val="24"/>
                <w14:textFill>
                  <w14:solidFill>
                    <w14:schemeClr w14:val="tx1"/>
                  </w14:solidFill>
                </w14:textFill>
              </w:rPr>
            </w:pPr>
          </w:p>
        </w:tc>
        <w:tc>
          <w:tcPr>
            <w:tcW w:w="1088" w:type="dxa"/>
            <w:vAlign w:val="center"/>
          </w:tcPr>
          <w:p w14:paraId="705519AD">
            <w:pPr>
              <w:spacing w:line="0" w:lineRule="atLeast"/>
              <w:rPr>
                <w:color w:val="000000" w:themeColor="text1"/>
                <w:sz w:val="24"/>
                <w:szCs w:val="24"/>
                <w14:textFill>
                  <w14:solidFill>
                    <w14:schemeClr w14:val="tx1"/>
                  </w14:solidFill>
                </w14:textFill>
              </w:rPr>
            </w:pPr>
          </w:p>
        </w:tc>
        <w:tc>
          <w:tcPr>
            <w:tcW w:w="1062" w:type="dxa"/>
            <w:vAlign w:val="center"/>
          </w:tcPr>
          <w:p w14:paraId="77EA0856">
            <w:pPr>
              <w:spacing w:line="0" w:lineRule="atLeast"/>
              <w:rPr>
                <w:color w:val="000000" w:themeColor="text1"/>
                <w:sz w:val="24"/>
                <w:szCs w:val="24"/>
                <w14:textFill>
                  <w14:solidFill>
                    <w14:schemeClr w14:val="tx1"/>
                  </w14:solidFill>
                </w14:textFill>
              </w:rPr>
            </w:pPr>
          </w:p>
        </w:tc>
        <w:tc>
          <w:tcPr>
            <w:tcW w:w="863" w:type="dxa"/>
            <w:vAlign w:val="center"/>
          </w:tcPr>
          <w:p w14:paraId="23088523">
            <w:pPr>
              <w:spacing w:line="0" w:lineRule="atLeast"/>
              <w:rPr>
                <w:color w:val="000000" w:themeColor="text1"/>
                <w:sz w:val="24"/>
                <w:szCs w:val="24"/>
                <w14:textFill>
                  <w14:solidFill>
                    <w14:schemeClr w14:val="tx1"/>
                  </w14:solidFill>
                </w14:textFill>
              </w:rPr>
            </w:pPr>
          </w:p>
        </w:tc>
      </w:tr>
      <w:tr w14:paraId="148F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56" w:type="dxa"/>
            <w:vAlign w:val="center"/>
          </w:tcPr>
          <w:p w14:paraId="3BA94C90">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4</w:t>
            </w:r>
          </w:p>
        </w:tc>
        <w:tc>
          <w:tcPr>
            <w:tcW w:w="1036" w:type="dxa"/>
            <w:vAlign w:val="center"/>
          </w:tcPr>
          <w:p w14:paraId="131C740F">
            <w:pPr>
              <w:spacing w:line="0" w:lineRule="atLeast"/>
              <w:rPr>
                <w:color w:val="000000" w:themeColor="text1"/>
                <w:sz w:val="24"/>
                <w:szCs w:val="24"/>
                <w14:textFill>
                  <w14:solidFill>
                    <w14:schemeClr w14:val="tx1"/>
                  </w14:solidFill>
                </w14:textFill>
              </w:rPr>
            </w:pPr>
          </w:p>
        </w:tc>
        <w:tc>
          <w:tcPr>
            <w:tcW w:w="966" w:type="dxa"/>
            <w:vAlign w:val="center"/>
          </w:tcPr>
          <w:p w14:paraId="6B3C7EC6">
            <w:pPr>
              <w:spacing w:line="0" w:lineRule="atLeast"/>
              <w:rPr>
                <w:color w:val="000000" w:themeColor="text1"/>
                <w:sz w:val="24"/>
                <w:szCs w:val="24"/>
                <w14:textFill>
                  <w14:solidFill>
                    <w14:schemeClr w14:val="tx1"/>
                  </w14:solidFill>
                </w14:textFill>
              </w:rPr>
            </w:pPr>
          </w:p>
        </w:tc>
        <w:tc>
          <w:tcPr>
            <w:tcW w:w="1049" w:type="dxa"/>
            <w:vAlign w:val="center"/>
          </w:tcPr>
          <w:p w14:paraId="108A0BCA">
            <w:pPr>
              <w:spacing w:line="0" w:lineRule="atLeast"/>
              <w:rPr>
                <w:color w:val="000000" w:themeColor="text1"/>
                <w:sz w:val="24"/>
                <w:szCs w:val="24"/>
                <w14:textFill>
                  <w14:solidFill>
                    <w14:schemeClr w14:val="tx1"/>
                  </w14:solidFill>
                </w14:textFill>
              </w:rPr>
            </w:pPr>
          </w:p>
        </w:tc>
        <w:tc>
          <w:tcPr>
            <w:tcW w:w="888" w:type="dxa"/>
            <w:vAlign w:val="center"/>
          </w:tcPr>
          <w:p w14:paraId="4DEC0E5C">
            <w:pPr>
              <w:spacing w:line="0" w:lineRule="atLeast"/>
              <w:rPr>
                <w:color w:val="000000" w:themeColor="text1"/>
                <w:sz w:val="24"/>
                <w:szCs w:val="24"/>
                <w14:textFill>
                  <w14:solidFill>
                    <w14:schemeClr w14:val="tx1"/>
                  </w14:solidFill>
                </w14:textFill>
              </w:rPr>
            </w:pPr>
          </w:p>
        </w:tc>
        <w:tc>
          <w:tcPr>
            <w:tcW w:w="1012" w:type="dxa"/>
            <w:vAlign w:val="center"/>
          </w:tcPr>
          <w:p w14:paraId="157C6A79">
            <w:pPr>
              <w:spacing w:line="0" w:lineRule="atLeast"/>
              <w:rPr>
                <w:color w:val="000000" w:themeColor="text1"/>
                <w:sz w:val="24"/>
                <w:szCs w:val="24"/>
                <w14:textFill>
                  <w14:solidFill>
                    <w14:schemeClr w14:val="tx1"/>
                  </w14:solidFill>
                </w14:textFill>
              </w:rPr>
            </w:pPr>
          </w:p>
        </w:tc>
        <w:tc>
          <w:tcPr>
            <w:tcW w:w="725" w:type="dxa"/>
            <w:vAlign w:val="center"/>
          </w:tcPr>
          <w:p w14:paraId="07A265CE">
            <w:pPr>
              <w:spacing w:line="0" w:lineRule="atLeast"/>
              <w:rPr>
                <w:color w:val="000000" w:themeColor="text1"/>
                <w:sz w:val="24"/>
                <w:szCs w:val="24"/>
                <w14:textFill>
                  <w14:solidFill>
                    <w14:schemeClr w14:val="tx1"/>
                  </w14:solidFill>
                </w14:textFill>
              </w:rPr>
            </w:pPr>
          </w:p>
        </w:tc>
        <w:tc>
          <w:tcPr>
            <w:tcW w:w="1088" w:type="dxa"/>
            <w:vAlign w:val="center"/>
          </w:tcPr>
          <w:p w14:paraId="19453333">
            <w:pPr>
              <w:spacing w:line="0" w:lineRule="atLeast"/>
              <w:rPr>
                <w:color w:val="000000" w:themeColor="text1"/>
                <w:sz w:val="24"/>
                <w:szCs w:val="24"/>
                <w14:textFill>
                  <w14:solidFill>
                    <w14:schemeClr w14:val="tx1"/>
                  </w14:solidFill>
                </w14:textFill>
              </w:rPr>
            </w:pPr>
          </w:p>
        </w:tc>
        <w:tc>
          <w:tcPr>
            <w:tcW w:w="1062" w:type="dxa"/>
            <w:vAlign w:val="center"/>
          </w:tcPr>
          <w:p w14:paraId="52B9BC6D">
            <w:pPr>
              <w:spacing w:line="0" w:lineRule="atLeast"/>
              <w:rPr>
                <w:color w:val="000000" w:themeColor="text1"/>
                <w:sz w:val="24"/>
                <w:szCs w:val="24"/>
                <w14:textFill>
                  <w14:solidFill>
                    <w14:schemeClr w14:val="tx1"/>
                  </w14:solidFill>
                </w14:textFill>
              </w:rPr>
            </w:pPr>
          </w:p>
        </w:tc>
        <w:tc>
          <w:tcPr>
            <w:tcW w:w="863" w:type="dxa"/>
            <w:vAlign w:val="center"/>
          </w:tcPr>
          <w:p w14:paraId="3C7AD731">
            <w:pPr>
              <w:spacing w:line="0" w:lineRule="atLeast"/>
              <w:rPr>
                <w:color w:val="000000" w:themeColor="text1"/>
                <w:sz w:val="24"/>
                <w:szCs w:val="24"/>
                <w14:textFill>
                  <w14:solidFill>
                    <w14:schemeClr w14:val="tx1"/>
                  </w14:solidFill>
                </w14:textFill>
              </w:rPr>
            </w:pPr>
          </w:p>
        </w:tc>
      </w:tr>
      <w:tr w14:paraId="747BC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556" w:type="dxa"/>
            <w:vAlign w:val="center"/>
          </w:tcPr>
          <w:p w14:paraId="3DDF95FB">
            <w:pPr>
              <w:spacing w:line="0" w:lineRule="atLeast"/>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w:t>
            </w:r>
          </w:p>
        </w:tc>
        <w:tc>
          <w:tcPr>
            <w:tcW w:w="1036" w:type="dxa"/>
            <w:vAlign w:val="center"/>
          </w:tcPr>
          <w:p w14:paraId="25EA669C">
            <w:pPr>
              <w:spacing w:line="0" w:lineRule="atLeast"/>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w:t>
            </w:r>
          </w:p>
        </w:tc>
        <w:tc>
          <w:tcPr>
            <w:tcW w:w="966" w:type="dxa"/>
            <w:vAlign w:val="center"/>
          </w:tcPr>
          <w:p w14:paraId="4EA326D9">
            <w:pPr>
              <w:spacing w:line="0" w:lineRule="atLeast"/>
              <w:rPr>
                <w:color w:val="000000" w:themeColor="text1"/>
                <w:sz w:val="24"/>
                <w:szCs w:val="24"/>
                <w14:textFill>
                  <w14:solidFill>
                    <w14:schemeClr w14:val="tx1"/>
                  </w14:solidFill>
                </w14:textFill>
              </w:rPr>
            </w:pPr>
          </w:p>
        </w:tc>
        <w:tc>
          <w:tcPr>
            <w:tcW w:w="1049" w:type="dxa"/>
            <w:vAlign w:val="center"/>
          </w:tcPr>
          <w:p w14:paraId="4CD1EBA3">
            <w:pPr>
              <w:spacing w:line="0" w:lineRule="atLeast"/>
              <w:rPr>
                <w:color w:val="000000" w:themeColor="text1"/>
                <w:sz w:val="24"/>
                <w:szCs w:val="24"/>
                <w14:textFill>
                  <w14:solidFill>
                    <w14:schemeClr w14:val="tx1"/>
                  </w14:solidFill>
                </w14:textFill>
              </w:rPr>
            </w:pPr>
          </w:p>
        </w:tc>
        <w:tc>
          <w:tcPr>
            <w:tcW w:w="888" w:type="dxa"/>
            <w:vAlign w:val="center"/>
          </w:tcPr>
          <w:p w14:paraId="67FCA641">
            <w:pPr>
              <w:spacing w:line="0" w:lineRule="atLeast"/>
              <w:rPr>
                <w:color w:val="000000" w:themeColor="text1"/>
                <w:sz w:val="24"/>
                <w:szCs w:val="24"/>
                <w14:textFill>
                  <w14:solidFill>
                    <w14:schemeClr w14:val="tx1"/>
                  </w14:solidFill>
                </w14:textFill>
              </w:rPr>
            </w:pPr>
          </w:p>
        </w:tc>
        <w:tc>
          <w:tcPr>
            <w:tcW w:w="1012" w:type="dxa"/>
            <w:vAlign w:val="center"/>
          </w:tcPr>
          <w:p w14:paraId="041FE9FB">
            <w:pPr>
              <w:spacing w:line="0" w:lineRule="atLeast"/>
              <w:rPr>
                <w:color w:val="000000" w:themeColor="text1"/>
                <w:sz w:val="24"/>
                <w:szCs w:val="24"/>
                <w14:textFill>
                  <w14:solidFill>
                    <w14:schemeClr w14:val="tx1"/>
                  </w14:solidFill>
                </w14:textFill>
              </w:rPr>
            </w:pPr>
          </w:p>
        </w:tc>
        <w:tc>
          <w:tcPr>
            <w:tcW w:w="725" w:type="dxa"/>
            <w:vAlign w:val="center"/>
          </w:tcPr>
          <w:p w14:paraId="373B8140">
            <w:pPr>
              <w:spacing w:line="0" w:lineRule="atLeast"/>
              <w:rPr>
                <w:color w:val="000000" w:themeColor="text1"/>
                <w:sz w:val="24"/>
                <w:szCs w:val="24"/>
                <w14:textFill>
                  <w14:solidFill>
                    <w14:schemeClr w14:val="tx1"/>
                  </w14:solidFill>
                </w14:textFill>
              </w:rPr>
            </w:pPr>
          </w:p>
        </w:tc>
        <w:tc>
          <w:tcPr>
            <w:tcW w:w="1088" w:type="dxa"/>
            <w:vAlign w:val="center"/>
          </w:tcPr>
          <w:p w14:paraId="65324D67">
            <w:pPr>
              <w:spacing w:line="0" w:lineRule="atLeast"/>
              <w:rPr>
                <w:color w:val="000000" w:themeColor="text1"/>
                <w:sz w:val="24"/>
                <w:szCs w:val="24"/>
                <w14:textFill>
                  <w14:solidFill>
                    <w14:schemeClr w14:val="tx1"/>
                  </w14:solidFill>
                </w14:textFill>
              </w:rPr>
            </w:pPr>
          </w:p>
        </w:tc>
        <w:tc>
          <w:tcPr>
            <w:tcW w:w="1062" w:type="dxa"/>
            <w:vAlign w:val="center"/>
          </w:tcPr>
          <w:p w14:paraId="68DA849F">
            <w:pPr>
              <w:spacing w:line="0" w:lineRule="atLeast"/>
              <w:rPr>
                <w:color w:val="000000" w:themeColor="text1"/>
                <w:sz w:val="24"/>
                <w:szCs w:val="24"/>
                <w14:textFill>
                  <w14:solidFill>
                    <w14:schemeClr w14:val="tx1"/>
                  </w14:solidFill>
                </w14:textFill>
              </w:rPr>
            </w:pPr>
          </w:p>
        </w:tc>
        <w:tc>
          <w:tcPr>
            <w:tcW w:w="863" w:type="dxa"/>
            <w:vAlign w:val="center"/>
          </w:tcPr>
          <w:p w14:paraId="2626FA62">
            <w:pPr>
              <w:spacing w:line="0" w:lineRule="atLeast"/>
              <w:rPr>
                <w:color w:val="000000" w:themeColor="text1"/>
                <w:sz w:val="24"/>
                <w:szCs w:val="24"/>
                <w14:textFill>
                  <w14:solidFill>
                    <w14:schemeClr w14:val="tx1"/>
                  </w14:solidFill>
                </w14:textFill>
              </w:rPr>
            </w:pPr>
          </w:p>
        </w:tc>
      </w:tr>
      <w:tr w14:paraId="777A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0" w:hRule="atLeast"/>
        </w:trPr>
        <w:tc>
          <w:tcPr>
            <w:tcW w:w="7320" w:type="dxa"/>
            <w:gridSpan w:val="8"/>
            <w:vAlign w:val="center"/>
          </w:tcPr>
          <w:p w14:paraId="054958B6">
            <w:pPr>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投标总报价（人民币：元）</w:t>
            </w:r>
          </w:p>
        </w:tc>
        <w:tc>
          <w:tcPr>
            <w:tcW w:w="1062" w:type="dxa"/>
          </w:tcPr>
          <w:p w14:paraId="3328B455">
            <w:pPr>
              <w:rPr>
                <w:color w:val="000000" w:themeColor="text1"/>
                <w:sz w:val="24"/>
                <w:szCs w:val="24"/>
                <w14:textFill>
                  <w14:solidFill>
                    <w14:schemeClr w14:val="tx1"/>
                  </w14:solidFill>
                </w14:textFill>
              </w:rPr>
            </w:pPr>
          </w:p>
        </w:tc>
        <w:tc>
          <w:tcPr>
            <w:tcW w:w="863" w:type="dxa"/>
          </w:tcPr>
          <w:p w14:paraId="19D6A94A">
            <w:pPr>
              <w:rPr>
                <w:color w:val="000000" w:themeColor="text1"/>
                <w:sz w:val="24"/>
                <w:szCs w:val="24"/>
                <w14:textFill>
                  <w14:solidFill>
                    <w14:schemeClr w14:val="tx1"/>
                  </w14:solidFill>
                </w14:textFill>
              </w:rPr>
            </w:pPr>
          </w:p>
        </w:tc>
      </w:tr>
    </w:tbl>
    <w:p w14:paraId="09D4EBA5">
      <w:pPr>
        <w:spacing w:line="36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themeColor="text1"/>
          <w:sz w:val="24"/>
          <w:szCs w:val="24"/>
          <w14:textFill>
            <w14:solidFill>
              <w14:schemeClr w14:val="tx1"/>
            </w14:solidFill>
          </w14:textFill>
        </w:rPr>
        <w:t>备注：1.</w:t>
      </w:r>
      <w:r>
        <w:rPr>
          <w:rFonts w:eastAsia="方正仿宋_GBK"/>
          <w:color w:val="000000" w:themeColor="text1"/>
          <w:sz w:val="24"/>
          <w14:textFill>
            <w14:solidFill>
              <w14:schemeClr w14:val="tx1"/>
            </w14:solidFill>
          </w14:textFill>
        </w:rPr>
        <w:t>投标报价采用总承包方式，“投标总报价”应包括设备</w:t>
      </w:r>
      <w:r>
        <w:rPr>
          <w:rFonts w:hint="eastAsia" w:eastAsia="方正仿宋_GBK"/>
          <w:color w:val="000000" w:themeColor="text1"/>
          <w:sz w:val="24"/>
          <w14:textFill>
            <w14:solidFill>
              <w14:schemeClr w14:val="tx1"/>
            </w14:solidFill>
          </w14:textFill>
        </w:rPr>
        <w:t>采购安装、调试</w:t>
      </w:r>
      <w:r>
        <w:rPr>
          <w:rFonts w:eastAsia="方正仿宋_GBK"/>
          <w:color w:val="000000" w:themeColor="text1"/>
          <w:sz w:val="24"/>
          <w14:textFill>
            <w14:solidFill>
              <w14:schemeClr w14:val="tx1"/>
            </w14:solidFill>
          </w14:textFill>
        </w:rPr>
        <w:t>及相关配套费、数据对接费、</w:t>
      </w:r>
      <w:r>
        <w:rPr>
          <w:rFonts w:hint="eastAsia" w:eastAsia="方正仿宋_GBK"/>
          <w:color w:val="000000" w:themeColor="text1"/>
          <w:sz w:val="24"/>
          <w14:textFill>
            <w14:solidFill>
              <w14:schemeClr w14:val="tx1"/>
            </w14:solidFill>
          </w14:textFill>
        </w:rPr>
        <w:t>电费、入网费、</w:t>
      </w:r>
      <w:r>
        <w:rPr>
          <w:rFonts w:eastAsia="方正仿宋_GBK"/>
          <w:color w:val="000000" w:themeColor="text1"/>
          <w:sz w:val="24"/>
          <w14:textFill>
            <w14:solidFill>
              <w14:schemeClr w14:val="tx1"/>
            </w14:solidFill>
          </w14:textFill>
        </w:rPr>
        <w:t>人工费、服务费、税金、满足实现采购需求功能和效果以及履约过程中涉及到的其他一切费用</w:t>
      </w:r>
      <w:r>
        <w:rPr>
          <w:rFonts w:hint="eastAsia" w:eastAsia="方正仿宋_GBK"/>
          <w:color w:val="000000" w:themeColor="text1"/>
          <w:sz w:val="24"/>
          <w:lang w:eastAsia="zh-CN"/>
          <w14:textFill>
            <w14:solidFill>
              <w14:schemeClr w14:val="tx1"/>
            </w14:solidFill>
          </w14:textFill>
        </w:rPr>
        <w:t>，</w:t>
      </w:r>
      <w:r>
        <w:rPr>
          <w:rFonts w:eastAsia="方正仿宋_GBK"/>
          <w:color w:val="000000" w:themeColor="text1"/>
          <w:sz w:val="24"/>
          <w14:textFill>
            <w14:solidFill>
              <w14:schemeClr w14:val="tx1"/>
            </w14:solidFill>
          </w14:textFill>
        </w:rPr>
        <w:t>招标文件中另有规定的除外。</w:t>
      </w:r>
    </w:p>
    <w:p w14:paraId="0FA49518">
      <w:pPr>
        <w:spacing w:line="36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2. “投标分项报价表”中“投标总报价”数额应当与“开标一览表”中“投标总报价”数额一致。</w:t>
      </w:r>
    </w:p>
    <w:p w14:paraId="2E8B7E3A">
      <w:pPr>
        <w:spacing w:line="360" w:lineRule="exact"/>
        <w:ind w:firstLine="480" w:firstLineChars="200"/>
        <w:rPr>
          <w:rFonts w:hint="eastAsia" w:eastAsia="方正仿宋_GBK"/>
          <w:color w:val="000000" w:themeColor="text1"/>
          <w:sz w:val="24"/>
          <w:lang w:val="en-US" w:eastAsia="zh-CN"/>
          <w14:textFill>
            <w14:solidFill>
              <w14:schemeClr w14:val="tx1"/>
            </w14:solidFill>
          </w14:textFill>
        </w:rPr>
      </w:pPr>
      <w:r>
        <w:rPr>
          <w:rFonts w:hint="eastAsia" w:eastAsia="方正仿宋_GBK"/>
          <w:color w:val="000000" w:themeColor="text1"/>
          <w:sz w:val="24"/>
          <w:lang w:val="en-US" w:eastAsia="zh-CN"/>
          <w14:textFill>
            <w14:solidFill>
              <w14:schemeClr w14:val="tx1"/>
            </w14:solidFill>
          </w14:textFill>
        </w:rPr>
        <w:t>3.核心产品必须注明产品品牌、型号和产地。</w:t>
      </w:r>
    </w:p>
    <w:p w14:paraId="6FACA7C1">
      <w:pPr>
        <w:spacing w:line="360" w:lineRule="exact"/>
        <w:ind w:firstLine="480" w:firstLineChars="200"/>
        <w:rPr>
          <w:rFonts w:hint="eastAsia" w:eastAsia="方正仿宋_GBK"/>
          <w:color w:val="000000" w:themeColor="text1"/>
          <w:sz w:val="24"/>
          <w:lang w:eastAsia="zh-CN"/>
          <w14:textFill>
            <w14:solidFill>
              <w14:schemeClr w14:val="tx1"/>
            </w14:solidFill>
          </w14:textFill>
        </w:rPr>
      </w:pPr>
      <w:r>
        <w:rPr>
          <w:rFonts w:hint="eastAsia" w:eastAsia="方正仿宋_GBK"/>
          <w:color w:val="000000" w:themeColor="text1"/>
          <w:sz w:val="24"/>
          <w:lang w:val="en-US" w:eastAsia="zh-CN"/>
          <w14:textFill>
            <w14:solidFill>
              <w14:schemeClr w14:val="tx1"/>
            </w14:solidFill>
          </w14:textFill>
        </w:rPr>
        <w:t>4.如投标人所投产品属于</w:t>
      </w:r>
      <w:r>
        <w:rPr>
          <w:rFonts w:hint="eastAsia" w:eastAsia="方正仿宋_GBK"/>
          <w:color w:val="000000" w:themeColor="text1"/>
          <w:sz w:val="24"/>
          <w:lang w:eastAsia="zh-CN"/>
          <w14:textFill>
            <w14:solidFill>
              <w14:schemeClr w14:val="tx1"/>
            </w14:solidFill>
          </w14:textFill>
        </w:rPr>
        <w:t>政府采购节能产品、环境标志产品的，须在本表中注明并在本表后按照招标文件要求提供相关证明材料。</w:t>
      </w:r>
    </w:p>
    <w:p w14:paraId="6415E4CA">
      <w:pPr>
        <w:pStyle w:val="188"/>
        <w:keepNext w:val="0"/>
        <w:keepLines w:val="0"/>
        <w:spacing w:before="0" w:after="0" w:line="480" w:lineRule="exact"/>
        <w:ind w:firstLine="640" w:firstLineChars="200"/>
        <w:jc w:val="left"/>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ascii="Times New Roman" w:hAnsi="Times New Roman" w:eastAsia="方正仿宋_GBK" w:cs="Times New Roman"/>
          <w:strike/>
          <w:color w:val="000000" w:themeColor="text1"/>
          <w:sz w:val="32"/>
          <w:szCs w:val="32"/>
          <w14:textFill>
            <w14:solidFill>
              <w14:schemeClr w14:val="tx1"/>
            </w14:solidFill>
          </w14:textFill>
        </w:rPr>
        <w:br w:type="page" w:clear="all"/>
      </w: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 xml:space="preserve">七、中小（微）企业声明函（货物） </w:t>
      </w:r>
    </w:p>
    <w:p w14:paraId="433A1F88">
      <w:pPr>
        <w:pStyle w:val="188"/>
        <w:keepNext w:val="0"/>
        <w:keepLines w:val="0"/>
        <w:spacing w:before="0" w:after="0" w:line="480" w:lineRule="exact"/>
        <w:jc w:val="center"/>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p>
    <w:p w14:paraId="79813CD9">
      <w:pPr>
        <w:pStyle w:val="188"/>
        <w:keepNext w:val="0"/>
        <w:keepLines w:val="0"/>
        <w:spacing w:before="0" w:after="0" w:line="480" w:lineRule="exact"/>
        <w:jc w:val="center"/>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中小（微）企业声明函（货物）</w:t>
      </w:r>
    </w:p>
    <w:p w14:paraId="15580B94">
      <w:pPr>
        <w:pStyle w:val="319"/>
        <w:spacing w:line="400" w:lineRule="exact"/>
        <w:jc w:val="left"/>
        <w:rPr>
          <w:rStyle w:val="197"/>
          <w:rFonts w:ascii="Times New Roman" w:hAnsi="Times New Roman" w:eastAsia="方正仿宋_GBK"/>
          <w:b/>
          <w:color w:val="000000" w:themeColor="text1"/>
          <w:sz w:val="32"/>
          <w:szCs w:val="32"/>
          <w14:textFill>
            <w14:solidFill>
              <w14:schemeClr w14:val="tx1"/>
            </w14:solidFill>
          </w14:textFill>
        </w:rPr>
      </w:pPr>
    </w:p>
    <w:p w14:paraId="5A57927A">
      <w:pPr>
        <w:pStyle w:val="319"/>
        <w:spacing w:line="480" w:lineRule="exact"/>
        <w:ind w:firstLine="480" w:firstLineChars="200"/>
        <w:rPr>
          <w:rStyle w:val="197"/>
          <w:rFonts w:ascii="Times New Roman" w:hAnsi="Times New Roman" w:eastAsia="方正仿宋_GBK"/>
          <w:color w:val="000000" w:themeColor="text1"/>
          <w:sz w:val="24"/>
          <w:szCs w:val="24"/>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rStyle w:val="197"/>
          <w:rFonts w:ascii="Times New Roman" w:hAnsi="Times New Roman" w:eastAsia="方正仿宋_GBK"/>
          <w:color w:val="000000" w:themeColor="text1"/>
          <w:sz w:val="24"/>
          <w:szCs w:val="24"/>
          <w:u w:val="single"/>
          <w14:textFill>
            <w14:solidFill>
              <w14:schemeClr w14:val="tx1"/>
            </w14:solidFill>
          </w14:textFill>
        </w:rPr>
        <w:t xml:space="preserve"> 单位名称  </w:t>
      </w:r>
      <w:r>
        <w:rPr>
          <w:rStyle w:val="197"/>
          <w:rFonts w:ascii="Times New Roman" w:hAnsi="Times New Roman" w:eastAsia="方正仿宋_GBK"/>
          <w:color w:val="000000" w:themeColor="text1"/>
          <w:sz w:val="24"/>
          <w:szCs w:val="24"/>
          <w14:textFill>
            <w14:solidFill>
              <w14:schemeClr w14:val="tx1"/>
            </w14:solidFill>
          </w14:textFill>
        </w:rPr>
        <w:t>的（</w:t>
      </w:r>
      <w:r>
        <w:rPr>
          <w:rStyle w:val="197"/>
          <w:rFonts w:ascii="Times New Roman" w:hAnsi="Times New Roman" w:eastAsia="方正仿宋_GBK"/>
          <w:color w:val="000000" w:themeColor="text1"/>
          <w:sz w:val="24"/>
          <w:szCs w:val="24"/>
          <w:u w:val="single"/>
          <w14:textFill>
            <w14:solidFill>
              <w14:schemeClr w14:val="tx1"/>
            </w14:solidFill>
          </w14:textFill>
        </w:rPr>
        <w:t>项目名称）</w:t>
      </w:r>
      <w:r>
        <w:rPr>
          <w:rStyle w:val="197"/>
          <w:rFonts w:ascii="Times New Roman" w:hAnsi="Times New Roman" w:eastAsia="方正仿宋_GBK"/>
          <w:color w:val="000000" w:themeColor="text1"/>
          <w:sz w:val="24"/>
          <w:szCs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43C3078">
      <w:pPr>
        <w:pStyle w:val="319"/>
        <w:spacing w:line="480" w:lineRule="exact"/>
        <w:ind w:firstLine="480" w:firstLineChars="200"/>
        <w:rPr>
          <w:rStyle w:val="197"/>
          <w:rFonts w:ascii="Times New Roman" w:hAnsi="Times New Roman" w:eastAsia="方正仿宋_GBK"/>
          <w:color w:val="000000" w:themeColor="text1"/>
          <w:sz w:val="24"/>
          <w:szCs w:val="24"/>
          <w:u w:val="single"/>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 xml:space="preserve">1. </w:t>
      </w:r>
      <w:r>
        <w:rPr>
          <w:rStyle w:val="197"/>
          <w:rFonts w:ascii="Times New Roman" w:hAnsi="Times New Roman" w:eastAsia="方正仿宋_GBK"/>
          <w:color w:val="000000" w:themeColor="text1"/>
          <w:sz w:val="24"/>
          <w:szCs w:val="24"/>
          <w:u w:val="single"/>
          <w14:textFill>
            <w14:solidFill>
              <w14:schemeClr w14:val="tx1"/>
            </w14:solidFill>
          </w14:textFill>
        </w:rPr>
        <w:t xml:space="preserve">标的名称          </w:t>
      </w:r>
      <w:r>
        <w:rPr>
          <w:rStyle w:val="197"/>
          <w:rFonts w:ascii="Times New Roman" w:hAnsi="Times New Roman" w:eastAsia="方正仿宋_GBK"/>
          <w:color w:val="000000" w:themeColor="text1"/>
          <w:sz w:val="24"/>
          <w:szCs w:val="24"/>
          <w14:textFill>
            <w14:solidFill>
              <w14:schemeClr w14:val="tx1"/>
            </w14:solidFill>
          </w14:textFill>
        </w:rPr>
        <w:t>，属于（</w:t>
      </w:r>
      <w:r>
        <w:rPr>
          <w:rStyle w:val="197"/>
          <w:rFonts w:ascii="Times New Roman" w:hAnsi="Times New Roman" w:eastAsia="方正仿宋_GBK"/>
          <w:color w:val="000000" w:themeColor="text1"/>
          <w:sz w:val="24"/>
          <w:szCs w:val="24"/>
          <w:u w:val="single"/>
          <w14:textFill>
            <w14:solidFill>
              <w14:schemeClr w14:val="tx1"/>
            </w14:solidFill>
          </w14:textFill>
        </w:rPr>
        <w:t>采购文件中明确的所属行业）行业</w:t>
      </w:r>
      <w:r>
        <w:rPr>
          <w:rStyle w:val="197"/>
          <w:rFonts w:ascii="Times New Roman" w:hAnsi="Times New Roman" w:eastAsia="方正仿宋_GBK"/>
          <w:color w:val="000000" w:themeColor="text1"/>
          <w:sz w:val="24"/>
          <w:szCs w:val="24"/>
          <w14:textFill>
            <w14:solidFill>
              <w14:schemeClr w14:val="tx1"/>
            </w14:solidFill>
          </w14:textFill>
        </w:rPr>
        <w:t>；制造商为</w:t>
      </w:r>
      <w:r>
        <w:rPr>
          <w:rStyle w:val="197"/>
          <w:rFonts w:ascii="Times New Roman" w:hAnsi="Times New Roman" w:eastAsia="方正仿宋_GBK"/>
          <w:color w:val="000000" w:themeColor="text1"/>
          <w:sz w:val="24"/>
          <w:szCs w:val="24"/>
          <w:u w:val="single"/>
          <w14:textFill>
            <w14:solidFill>
              <w14:schemeClr w14:val="tx1"/>
            </w14:solidFill>
          </w14:textFill>
        </w:rPr>
        <w:t>（企业名称）</w:t>
      </w:r>
      <w:r>
        <w:rPr>
          <w:rStyle w:val="197"/>
          <w:rFonts w:ascii="Times New Roman" w:hAnsi="Times New Roman" w:eastAsia="方正仿宋_GBK"/>
          <w:color w:val="000000" w:themeColor="text1"/>
          <w:sz w:val="24"/>
          <w:szCs w:val="24"/>
          <w14:textFill>
            <w14:solidFill>
              <w14:schemeClr w14:val="tx1"/>
            </w14:solidFill>
          </w14:textFill>
        </w:rPr>
        <w:t>，从业人员人，营业收入为 万元，资产总额为万元</w:t>
      </w:r>
      <w:r>
        <w:rPr>
          <w:rStyle w:val="197"/>
          <w:rFonts w:ascii="Times New Roman" w:hAnsi="Times New Roman" w:eastAsia="方正仿宋_GBK"/>
          <w:color w:val="000000" w:themeColor="text1"/>
          <w:sz w:val="24"/>
          <w:szCs w:val="24"/>
          <w:vertAlign w:val="superscript"/>
          <w14:textFill>
            <w14:solidFill>
              <w14:schemeClr w14:val="tx1"/>
            </w14:solidFill>
          </w14:textFill>
        </w:rPr>
        <w:t>1</w:t>
      </w:r>
      <w:r>
        <w:rPr>
          <w:rStyle w:val="197"/>
          <w:rFonts w:ascii="Times New Roman" w:hAnsi="Times New Roman" w:eastAsia="方正仿宋_GBK"/>
          <w:color w:val="000000" w:themeColor="text1"/>
          <w:sz w:val="24"/>
          <w:szCs w:val="24"/>
          <w14:textFill>
            <w14:solidFill>
              <w14:schemeClr w14:val="tx1"/>
            </w14:solidFill>
          </w14:textFill>
        </w:rPr>
        <w:t>，属于</w:t>
      </w:r>
      <w:r>
        <w:rPr>
          <w:rStyle w:val="197"/>
          <w:rFonts w:ascii="Times New Roman" w:hAnsi="Times New Roman" w:eastAsia="方正仿宋_GBK"/>
          <w:color w:val="000000" w:themeColor="text1"/>
          <w:sz w:val="24"/>
          <w:szCs w:val="24"/>
          <w:u w:val="single"/>
          <w14:textFill>
            <w14:solidFill>
              <w14:schemeClr w14:val="tx1"/>
            </w14:solidFill>
          </w14:textFill>
        </w:rPr>
        <w:t>（中型企业、小型企业、微型企业）；</w:t>
      </w:r>
    </w:p>
    <w:p w14:paraId="27ADE890">
      <w:pPr>
        <w:pStyle w:val="319"/>
        <w:spacing w:line="480" w:lineRule="exact"/>
        <w:ind w:firstLine="480" w:firstLineChars="200"/>
        <w:rPr>
          <w:rStyle w:val="197"/>
          <w:rFonts w:ascii="Times New Roman" w:hAnsi="Times New Roman" w:eastAsia="方正仿宋_GBK"/>
          <w:color w:val="000000" w:themeColor="text1"/>
          <w:sz w:val="24"/>
          <w:szCs w:val="24"/>
          <w:u w:val="single"/>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 xml:space="preserve">2. </w:t>
      </w:r>
      <w:r>
        <w:rPr>
          <w:rStyle w:val="197"/>
          <w:rFonts w:ascii="Times New Roman" w:hAnsi="Times New Roman" w:eastAsia="方正仿宋_GBK"/>
          <w:color w:val="000000" w:themeColor="text1"/>
          <w:sz w:val="24"/>
          <w:szCs w:val="24"/>
          <w:u w:val="single"/>
          <w14:textFill>
            <w14:solidFill>
              <w14:schemeClr w14:val="tx1"/>
            </w14:solidFill>
          </w14:textFill>
        </w:rPr>
        <w:t xml:space="preserve">标的名称          </w:t>
      </w:r>
      <w:r>
        <w:rPr>
          <w:rStyle w:val="197"/>
          <w:rFonts w:ascii="Times New Roman" w:hAnsi="Times New Roman" w:eastAsia="方正仿宋_GBK"/>
          <w:color w:val="000000" w:themeColor="text1"/>
          <w:sz w:val="24"/>
          <w:szCs w:val="24"/>
          <w14:textFill>
            <w14:solidFill>
              <w14:schemeClr w14:val="tx1"/>
            </w14:solidFill>
          </w14:textFill>
        </w:rPr>
        <w:t>，属于（</w:t>
      </w:r>
      <w:r>
        <w:rPr>
          <w:rStyle w:val="197"/>
          <w:rFonts w:ascii="Times New Roman" w:hAnsi="Times New Roman" w:eastAsia="方正仿宋_GBK"/>
          <w:color w:val="000000" w:themeColor="text1"/>
          <w:sz w:val="24"/>
          <w:szCs w:val="24"/>
          <w:u w:val="single"/>
          <w14:textFill>
            <w14:solidFill>
              <w14:schemeClr w14:val="tx1"/>
            </w14:solidFill>
          </w14:textFill>
        </w:rPr>
        <w:t>采购文件中明确的所属行业）行业</w:t>
      </w:r>
      <w:r>
        <w:rPr>
          <w:rStyle w:val="197"/>
          <w:rFonts w:ascii="Times New Roman" w:hAnsi="Times New Roman" w:eastAsia="方正仿宋_GBK"/>
          <w:color w:val="000000" w:themeColor="text1"/>
          <w:sz w:val="24"/>
          <w:szCs w:val="24"/>
          <w14:textFill>
            <w14:solidFill>
              <w14:schemeClr w14:val="tx1"/>
            </w14:solidFill>
          </w14:textFill>
        </w:rPr>
        <w:t>；制造商为</w:t>
      </w:r>
      <w:r>
        <w:rPr>
          <w:rStyle w:val="197"/>
          <w:rFonts w:ascii="Times New Roman" w:hAnsi="Times New Roman" w:eastAsia="方正仿宋_GBK"/>
          <w:color w:val="000000" w:themeColor="text1"/>
          <w:sz w:val="24"/>
          <w:szCs w:val="24"/>
          <w:u w:val="single"/>
          <w14:textFill>
            <w14:solidFill>
              <w14:schemeClr w14:val="tx1"/>
            </w14:solidFill>
          </w14:textFill>
        </w:rPr>
        <w:t xml:space="preserve">（企业名称）        </w:t>
      </w:r>
      <w:r>
        <w:rPr>
          <w:rStyle w:val="197"/>
          <w:rFonts w:ascii="Times New Roman" w:hAnsi="Times New Roman" w:eastAsia="方正仿宋_GBK"/>
          <w:color w:val="000000" w:themeColor="text1"/>
          <w:sz w:val="24"/>
          <w:szCs w:val="24"/>
          <w14:textFill>
            <w14:solidFill>
              <w14:schemeClr w14:val="tx1"/>
            </w14:solidFill>
          </w14:textFill>
        </w:rPr>
        <w:t>，从业人员人，营业收入为 万元，资产总额为万元，属于</w:t>
      </w:r>
      <w:r>
        <w:rPr>
          <w:rStyle w:val="197"/>
          <w:rFonts w:ascii="Times New Roman" w:hAnsi="Times New Roman" w:eastAsia="方正仿宋_GBK"/>
          <w:color w:val="000000" w:themeColor="text1"/>
          <w:sz w:val="24"/>
          <w:szCs w:val="24"/>
          <w:u w:val="single"/>
          <w14:textFill>
            <w14:solidFill>
              <w14:schemeClr w14:val="tx1"/>
            </w14:solidFill>
          </w14:textFill>
        </w:rPr>
        <w:t>（中型企业、小型企业、微型企业）；</w:t>
      </w:r>
    </w:p>
    <w:p w14:paraId="5A625093">
      <w:pPr>
        <w:pStyle w:val="319"/>
        <w:spacing w:line="480" w:lineRule="exact"/>
        <w:ind w:firstLine="480" w:firstLineChars="200"/>
        <w:rPr>
          <w:rStyle w:val="197"/>
          <w:rFonts w:ascii="Times New Roman" w:hAnsi="Times New Roman" w:eastAsia="方正仿宋_GBK"/>
          <w:color w:val="000000" w:themeColor="text1"/>
          <w:sz w:val="24"/>
          <w:szCs w:val="24"/>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w:t>
      </w:r>
    </w:p>
    <w:p w14:paraId="64CC108E">
      <w:pPr>
        <w:pStyle w:val="319"/>
        <w:spacing w:line="480" w:lineRule="exact"/>
        <w:ind w:firstLine="480" w:firstLineChars="200"/>
        <w:rPr>
          <w:rStyle w:val="197"/>
          <w:rFonts w:ascii="Times New Roman" w:hAnsi="Times New Roman" w:eastAsia="方正仿宋_GBK"/>
          <w:color w:val="000000" w:themeColor="text1"/>
          <w:sz w:val="24"/>
          <w:szCs w:val="24"/>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2B5783F4">
      <w:pPr>
        <w:pStyle w:val="319"/>
        <w:spacing w:line="480" w:lineRule="exact"/>
        <w:ind w:firstLine="480" w:firstLineChars="200"/>
        <w:rPr>
          <w:rStyle w:val="197"/>
          <w:rFonts w:ascii="Times New Roman" w:hAnsi="Times New Roman" w:eastAsia="方正仿宋_GBK"/>
          <w:color w:val="000000" w:themeColor="text1"/>
          <w:sz w:val="24"/>
          <w:szCs w:val="24"/>
          <w14:textFill>
            <w14:solidFill>
              <w14:schemeClr w14:val="tx1"/>
            </w14:solidFill>
          </w14:textFill>
        </w:rPr>
      </w:pPr>
      <w:r>
        <w:rPr>
          <w:rStyle w:val="197"/>
          <w:rFonts w:ascii="Times New Roman" w:hAnsi="Times New Roman" w:eastAsia="方正仿宋_GBK"/>
          <w:color w:val="000000" w:themeColor="text1"/>
          <w:sz w:val="24"/>
          <w:szCs w:val="24"/>
          <w14:textFill>
            <w14:solidFill>
              <w14:schemeClr w14:val="tx1"/>
            </w14:solidFill>
          </w14:textFill>
        </w:rPr>
        <w:t>本企业对上述声明内容的真实性负责。如有虚假，将依法承担相应责任。</w:t>
      </w:r>
    </w:p>
    <w:p w14:paraId="4F15BB88">
      <w:pPr>
        <w:spacing w:line="480" w:lineRule="exact"/>
        <w:rPr>
          <w:rFonts w:eastAsia="方正仿宋_GBK"/>
          <w:color w:val="000000" w:themeColor="text1"/>
          <w:sz w:val="24"/>
          <w:szCs w:val="24"/>
          <w14:textFill>
            <w14:solidFill>
              <w14:schemeClr w14:val="tx1"/>
            </w14:solidFill>
          </w14:textFill>
        </w:rPr>
      </w:pPr>
    </w:p>
    <w:p w14:paraId="4A35D8F3">
      <w:pPr>
        <w:spacing w:line="480" w:lineRule="exact"/>
        <w:ind w:firstLine="360"/>
        <w:jc w:val="righ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企业名称：（加盖CA电子公章）</w:t>
      </w:r>
    </w:p>
    <w:p w14:paraId="56E1AB6F">
      <w:pPr>
        <w:spacing w:line="480" w:lineRule="exact"/>
        <w:jc w:val="righ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日  期：年___月___日</w:t>
      </w:r>
    </w:p>
    <w:p w14:paraId="6B9A0E03">
      <w:pPr>
        <w:pStyle w:val="319"/>
        <w:spacing w:line="480" w:lineRule="exact"/>
        <w:ind w:firstLine="480" w:firstLineChars="200"/>
        <w:rPr>
          <w:rStyle w:val="197"/>
          <w:rFonts w:ascii="Times New Roman" w:hAnsi="Times New Roman" w:eastAsia="方正仿宋_GBK"/>
          <w:color w:val="000000" w:themeColor="text1"/>
          <w:sz w:val="24"/>
          <w:szCs w:val="24"/>
          <w14:textFill>
            <w14:solidFill>
              <w14:schemeClr w14:val="tx1"/>
            </w14:solidFill>
          </w14:textFill>
        </w:rPr>
      </w:pPr>
    </w:p>
    <w:p w14:paraId="59E4B54E">
      <w:pPr>
        <w:pStyle w:val="319"/>
        <w:spacing w:line="560" w:lineRule="exact"/>
        <w:ind w:firstLine="360"/>
        <w:rPr>
          <w:rStyle w:val="197"/>
          <w:rFonts w:ascii="Times New Roman" w:hAnsi="Times New Roman" w:eastAsia="方正仿宋_GBK"/>
          <w:color w:val="000000" w:themeColor="text1"/>
          <w:sz w:val="21"/>
          <w:szCs w:val="21"/>
          <w14:textFill>
            <w14:solidFill>
              <w14:schemeClr w14:val="tx1"/>
            </w14:solidFill>
          </w14:textFill>
        </w:rPr>
      </w:pPr>
      <w:r>
        <w:rPr>
          <w:rStyle w:val="197"/>
          <w:rFonts w:ascii="Times New Roman" w:hAnsi="Times New Roman" w:eastAsia="方正仿宋_GBK"/>
          <w:color w:val="000000" w:themeColor="text1"/>
          <w:sz w:val="21"/>
          <w:szCs w:val="21"/>
          <w14:textFill>
            <w14:solidFill>
              <w14:schemeClr w14:val="tx1"/>
            </w14:solidFill>
          </w14:textFill>
        </w:rPr>
        <w:t>备注：1、从业人员、营业收入、资产总额填报上一年度数据，无上一年度数据的新成立企业可不填报。2、</w:t>
      </w:r>
      <w:r>
        <w:rPr>
          <w:rStyle w:val="197"/>
          <w:rFonts w:hint="eastAsia" w:ascii="Times New Roman" w:hAnsi="Times New Roman" w:eastAsia="方正仿宋_GBK"/>
          <w:color w:val="000000" w:themeColor="text1"/>
          <w:sz w:val="21"/>
          <w:szCs w:val="21"/>
          <w14:textFill>
            <w14:solidFill>
              <w14:schemeClr w14:val="tx1"/>
            </w14:solidFill>
          </w14:textFill>
        </w:rPr>
        <w:t>符合报价折扣情形的请将此函填报上传至“企业报价折扣证明”一栏中</w:t>
      </w:r>
      <w:r>
        <w:rPr>
          <w:rStyle w:val="197"/>
          <w:rFonts w:hint="eastAsia" w:ascii="Times New Roman" w:hAnsi="Times New Roman" w:eastAsia="方正仿宋_GBK"/>
          <w:color w:val="000000" w:themeColor="text1"/>
          <w:sz w:val="21"/>
          <w:szCs w:val="21"/>
          <w:lang w:eastAsia="zh-CN"/>
          <w14:textFill>
            <w14:solidFill>
              <w14:schemeClr w14:val="tx1"/>
            </w14:solidFill>
          </w14:textFill>
        </w:rPr>
        <w:t>。</w:t>
      </w:r>
      <w:r>
        <w:rPr>
          <w:rStyle w:val="197"/>
          <w:rFonts w:ascii="Times New Roman" w:hAnsi="Times New Roman" w:eastAsia="方正仿宋_GBK"/>
          <w:color w:val="000000" w:themeColor="text1"/>
          <w:sz w:val="21"/>
          <w:szCs w:val="21"/>
          <w14:textFill>
            <w14:solidFill>
              <w14:schemeClr w14:val="tx1"/>
            </w14:solidFill>
          </w14:textFill>
        </w:rPr>
        <w:t>此声明函将随成交结果同时公告，接受社会监督。</w:t>
      </w:r>
    </w:p>
    <w:p w14:paraId="11ADB76D">
      <w:pPr>
        <w:pStyle w:val="188"/>
        <w:keepNext w:val="0"/>
        <w:keepLines w:val="0"/>
        <w:spacing w:before="0" w:after="0" w:line="480" w:lineRule="exact"/>
        <w:jc w:val="center"/>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p>
    <w:p w14:paraId="16D313F3">
      <w:pPr>
        <w:rPr>
          <w:rFonts w:hint="eastAsia"/>
          <w:lang w:val="en-US" w:eastAsia="zh-CN"/>
        </w:rPr>
      </w:pPr>
    </w:p>
    <w:p w14:paraId="2369A3C8">
      <w:pPr>
        <w:pStyle w:val="188"/>
        <w:keepNext w:val="0"/>
        <w:keepLines w:val="0"/>
        <w:spacing w:before="0" w:after="0" w:line="480" w:lineRule="exact"/>
        <w:jc w:val="center"/>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p>
    <w:p w14:paraId="2B1D9090">
      <w:pPr>
        <w:pStyle w:val="188"/>
        <w:keepNext w:val="0"/>
        <w:keepLines w:val="0"/>
        <w:spacing w:before="0" w:after="0" w:line="480" w:lineRule="exact"/>
        <w:jc w:val="center"/>
        <w:outlineLvl w:val="9"/>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残疾人福利性单位声明函</w:t>
      </w:r>
    </w:p>
    <w:p w14:paraId="5A997E09">
      <w:pPr>
        <w:pStyle w:val="321"/>
        <w:spacing w:line="588" w:lineRule="exact"/>
        <w:rPr>
          <w:rStyle w:val="197"/>
          <w:rFonts w:ascii="Times New Roman" w:hAnsi="Times New Roman" w:eastAsia="方正仿宋_GBK"/>
          <w:b/>
          <w:color w:val="000000" w:themeColor="text1"/>
          <w:spacing w:val="6"/>
          <w:sz w:val="30"/>
          <w:szCs w:val="30"/>
          <w14:textFill>
            <w14:solidFill>
              <w14:schemeClr w14:val="tx1"/>
            </w14:solidFill>
          </w14:textFill>
        </w:rPr>
      </w:pPr>
    </w:p>
    <w:p w14:paraId="18947D4F">
      <w:pPr>
        <w:spacing w:line="360" w:lineRule="auto"/>
        <w:ind w:firstLine="48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的项目采购活动提供本单位制造的货物（由本单位承担工程/提供服务），或者提供其他残疾人福利性单位制造的货物（不包括使用非残疾人福利性单位注册商标的货物）。</w:t>
      </w:r>
    </w:p>
    <w:p w14:paraId="3DED0107">
      <w:pPr>
        <w:spacing w:line="360" w:lineRule="auto"/>
        <w:ind w:firstLine="48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本单位对上述声明的真实性负责。如有虚假，将依法承担相应责任。</w:t>
      </w:r>
    </w:p>
    <w:p w14:paraId="22065326">
      <w:pPr>
        <w:spacing w:line="360" w:lineRule="auto"/>
        <w:ind w:firstLine="480"/>
        <w:rPr>
          <w:rFonts w:eastAsia="方正仿宋_GBK"/>
          <w:color w:val="000000" w:themeColor="text1"/>
          <w:sz w:val="24"/>
          <w14:textFill>
            <w14:solidFill>
              <w14:schemeClr w14:val="tx1"/>
            </w14:solidFill>
          </w14:textFill>
        </w:rPr>
      </w:pPr>
    </w:p>
    <w:p w14:paraId="5C3BC6A9">
      <w:pPr>
        <w:spacing w:line="360" w:lineRule="auto"/>
        <w:ind w:firstLine="480"/>
        <w:rPr>
          <w:rFonts w:hint="default" w:eastAsia="方正仿宋_GBK"/>
          <w:color w:val="000000" w:themeColor="text1"/>
          <w:sz w:val="24"/>
          <w:lang w:val="en-US" w:eastAsia="zh-CN"/>
          <w14:textFill>
            <w14:solidFill>
              <w14:schemeClr w14:val="tx1"/>
            </w14:solidFill>
          </w14:textFill>
        </w:rPr>
      </w:pPr>
      <w:r>
        <w:rPr>
          <w:rFonts w:eastAsia="方正仿宋_GBK"/>
          <w:color w:val="000000" w:themeColor="text1"/>
          <w:sz w:val="24"/>
          <w14:textFill>
            <w14:solidFill>
              <w14:schemeClr w14:val="tx1"/>
            </w14:solidFill>
          </w14:textFill>
        </w:rPr>
        <w:t>备注：</w:t>
      </w:r>
      <w:r>
        <w:rPr>
          <w:rFonts w:hint="eastAsia" w:eastAsia="方正仿宋_GBK"/>
          <w:color w:val="000000" w:themeColor="text1"/>
          <w:sz w:val="24"/>
          <w14:textFill>
            <w14:solidFill>
              <w14:schemeClr w14:val="tx1"/>
            </w14:solidFill>
          </w14:textFill>
        </w:rPr>
        <w:t>1、投标人如不提供此声明函，价格将不做相应扣除。2、中标投标人为残疾人福利单位的，此声明函将随中标结果同时公告，接受社会监督；3、非残疾人福利性单位不需提供此函。</w:t>
      </w:r>
      <w:r>
        <w:rPr>
          <w:rFonts w:hint="eastAsia" w:eastAsia="方正仿宋_GBK"/>
          <w:color w:val="000000" w:themeColor="text1"/>
          <w:sz w:val="24"/>
          <w:lang w:val="en-US" w:eastAsia="zh-CN"/>
          <w14:textFill>
            <w14:solidFill>
              <w14:schemeClr w14:val="tx1"/>
            </w14:solidFill>
          </w14:textFill>
        </w:rPr>
        <w:t>4、符合报价折扣情形的请将此函填报上传至“企业报价折扣证明”一栏中。</w:t>
      </w:r>
    </w:p>
    <w:p w14:paraId="4400BE34">
      <w:pPr>
        <w:spacing w:line="360" w:lineRule="auto"/>
        <w:ind w:firstLine="480"/>
        <w:rPr>
          <w:rFonts w:hint="default" w:eastAsia="方正仿宋_GBK"/>
          <w:color w:val="000000" w:themeColor="text1"/>
          <w:sz w:val="24"/>
          <w:lang w:val="en-US" w:eastAsia="zh-CN"/>
          <w14:textFill>
            <w14:solidFill>
              <w14:schemeClr w14:val="tx1"/>
            </w14:solidFill>
          </w14:textFill>
        </w:rPr>
      </w:pPr>
    </w:p>
    <w:p w14:paraId="066FC9AE">
      <w:pPr>
        <w:spacing w:line="360" w:lineRule="auto"/>
        <w:ind w:firstLine="624"/>
        <w:rPr>
          <w:rFonts w:eastAsia="方正仿宋_GBK"/>
          <w:color w:val="000000" w:themeColor="text1"/>
          <w:spacing w:val="6"/>
          <w:sz w:val="30"/>
          <w:szCs w:val="30"/>
          <w14:textFill>
            <w14:solidFill>
              <w14:schemeClr w14:val="tx1"/>
            </w14:solidFill>
          </w14:textFill>
        </w:rPr>
      </w:pPr>
    </w:p>
    <w:p w14:paraId="52CED56B">
      <w:pPr>
        <w:pStyle w:val="307"/>
        <w:spacing w:line="360" w:lineRule="auto"/>
        <w:rPr>
          <w:rFonts w:ascii="Times New Roman" w:hAnsi="Times New Roman" w:eastAsia="方正仿宋_GBK" w:cs="Times New Roman"/>
          <w:color w:val="000000" w:themeColor="text1"/>
          <w14:textFill>
            <w14:solidFill>
              <w14:schemeClr w14:val="tx1"/>
            </w14:solidFill>
          </w14:textFill>
        </w:rPr>
      </w:pPr>
    </w:p>
    <w:p w14:paraId="75C3A71C">
      <w:pPr>
        <w:spacing w:line="360" w:lineRule="auto"/>
        <w:ind w:right="180" w:firstLine="360"/>
        <w:jc w:val="righ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企业名称：（加盖CA电子公章）</w:t>
      </w:r>
    </w:p>
    <w:p w14:paraId="219A2AA8">
      <w:pPr>
        <w:spacing w:line="360" w:lineRule="auto"/>
        <w:jc w:val="right"/>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日  期：年___月___日</w:t>
      </w:r>
    </w:p>
    <w:p w14:paraId="5D3AC823">
      <w:pPr>
        <w:spacing w:line="560" w:lineRule="exact"/>
        <w:jc w:val="left"/>
        <w:rPr>
          <w:rFonts w:eastAsia="黑体"/>
          <w:b/>
          <w:color w:val="000000" w:themeColor="text1"/>
          <w:sz w:val="32"/>
          <w:szCs w:val="32"/>
          <w14:textFill>
            <w14:solidFill>
              <w14:schemeClr w14:val="tx1"/>
            </w14:solidFill>
          </w14:textFill>
        </w:rPr>
      </w:pPr>
      <w:r>
        <w:rPr>
          <w:rFonts w:eastAsia="方正黑体_GBK"/>
          <w:b/>
          <w:color w:val="000000" w:themeColor="text1"/>
          <w:sz w:val="32"/>
          <w:szCs w:val="32"/>
          <w14:textFill>
            <w14:solidFill>
              <w14:schemeClr w14:val="tx1"/>
            </w14:solidFill>
          </w14:textFill>
        </w:rPr>
        <w:br w:type="page" w:clear="all"/>
      </w: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 xml:space="preserve">八、技术要求响应及偏离表 </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086B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tcMar>
              <w:top w:w="57" w:type="dxa"/>
              <w:left w:w="57" w:type="dxa"/>
              <w:bottom w:w="57" w:type="dxa"/>
              <w:right w:w="57" w:type="dxa"/>
            </w:tcMar>
            <w:vAlign w:val="center"/>
          </w:tcPr>
          <w:p w14:paraId="38E086E1">
            <w:pPr>
              <w:spacing w:line="260" w:lineRule="exact"/>
              <w:jc w:val="center"/>
              <w:rPr>
                <w:rFonts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序号</w:t>
            </w:r>
          </w:p>
        </w:tc>
        <w:tc>
          <w:tcPr>
            <w:tcW w:w="3291" w:type="dxa"/>
            <w:tcMar>
              <w:top w:w="57" w:type="dxa"/>
              <w:left w:w="57" w:type="dxa"/>
              <w:bottom w:w="57" w:type="dxa"/>
              <w:right w:w="57" w:type="dxa"/>
            </w:tcMar>
            <w:vAlign w:val="center"/>
          </w:tcPr>
          <w:p w14:paraId="17930D6A">
            <w:pPr>
              <w:pStyle w:val="249"/>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60" w:lineRule="exact"/>
              <w:jc w:val="center"/>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技术要求和商务要求中的实质性要求（打“★”内容）</w:t>
            </w:r>
          </w:p>
        </w:tc>
        <w:tc>
          <w:tcPr>
            <w:tcW w:w="2852" w:type="dxa"/>
            <w:tcMar>
              <w:top w:w="57" w:type="dxa"/>
              <w:left w:w="57" w:type="dxa"/>
              <w:bottom w:w="57" w:type="dxa"/>
              <w:right w:w="57" w:type="dxa"/>
            </w:tcMar>
            <w:vAlign w:val="center"/>
          </w:tcPr>
          <w:p w14:paraId="064E2A7F">
            <w:pPr>
              <w:pStyle w:val="249"/>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60" w:lineRule="exact"/>
              <w:jc w:val="center"/>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响应情况（填报“响应或完全响应”）</w:t>
            </w:r>
          </w:p>
        </w:tc>
        <w:tc>
          <w:tcPr>
            <w:tcW w:w="1308" w:type="dxa"/>
            <w:tcMar>
              <w:top w:w="57" w:type="dxa"/>
              <w:left w:w="57" w:type="dxa"/>
              <w:bottom w:w="57" w:type="dxa"/>
              <w:right w:w="57" w:type="dxa"/>
            </w:tcMar>
            <w:vAlign w:val="center"/>
          </w:tcPr>
          <w:p w14:paraId="77767A80">
            <w:pPr>
              <w:pStyle w:val="249"/>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60" w:lineRule="exact"/>
              <w:jc w:val="center"/>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偏离（填报“正偏离、符合或负偏离”）</w:t>
            </w:r>
          </w:p>
        </w:tc>
        <w:tc>
          <w:tcPr>
            <w:tcW w:w="1173" w:type="dxa"/>
            <w:tcMar>
              <w:top w:w="57" w:type="dxa"/>
              <w:left w:w="57" w:type="dxa"/>
              <w:bottom w:w="57" w:type="dxa"/>
              <w:right w:w="57" w:type="dxa"/>
            </w:tcMar>
            <w:vAlign w:val="center"/>
          </w:tcPr>
          <w:p w14:paraId="3402B0AD">
            <w:pPr>
              <w:spacing w:line="260" w:lineRule="exact"/>
              <w:jc w:val="center"/>
              <w:rPr>
                <w:rFonts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证明</w:t>
            </w:r>
          </w:p>
          <w:p w14:paraId="1B16371F">
            <w:pPr>
              <w:spacing w:line="260" w:lineRule="exact"/>
              <w:jc w:val="center"/>
              <w:rPr>
                <w:rFonts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材料</w:t>
            </w:r>
          </w:p>
        </w:tc>
      </w:tr>
      <w:tr w14:paraId="7A6E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4FAFA7A7">
            <w:pPr>
              <w:jc w:val="center"/>
              <w:rPr>
                <w:color w:val="000000" w:themeColor="text1"/>
                <w:sz w:val="24"/>
                <w:szCs w:val="24"/>
                <w14:textFill>
                  <w14:solidFill>
                    <w14:schemeClr w14:val="tx1"/>
                  </w14:solidFill>
                </w14:textFill>
              </w:rPr>
            </w:pPr>
          </w:p>
        </w:tc>
        <w:tc>
          <w:tcPr>
            <w:tcW w:w="3291" w:type="dxa"/>
          </w:tcPr>
          <w:p w14:paraId="246BCC3C">
            <w:pPr>
              <w:jc w:val="center"/>
              <w:rPr>
                <w:color w:val="000000" w:themeColor="text1"/>
                <w:sz w:val="24"/>
                <w:szCs w:val="24"/>
                <w14:textFill>
                  <w14:solidFill>
                    <w14:schemeClr w14:val="tx1"/>
                  </w14:solidFill>
                </w14:textFill>
              </w:rPr>
            </w:pPr>
          </w:p>
        </w:tc>
        <w:tc>
          <w:tcPr>
            <w:tcW w:w="2852" w:type="dxa"/>
          </w:tcPr>
          <w:p w14:paraId="420751A1">
            <w:pPr>
              <w:jc w:val="center"/>
              <w:rPr>
                <w:color w:val="000000" w:themeColor="text1"/>
                <w:sz w:val="24"/>
                <w:szCs w:val="24"/>
                <w14:textFill>
                  <w14:solidFill>
                    <w14:schemeClr w14:val="tx1"/>
                  </w14:solidFill>
                </w14:textFill>
              </w:rPr>
            </w:pPr>
          </w:p>
        </w:tc>
        <w:tc>
          <w:tcPr>
            <w:tcW w:w="1308" w:type="dxa"/>
          </w:tcPr>
          <w:p w14:paraId="6980121A">
            <w:pPr>
              <w:jc w:val="center"/>
              <w:rPr>
                <w:color w:val="000000" w:themeColor="text1"/>
                <w:sz w:val="24"/>
                <w:szCs w:val="24"/>
                <w14:textFill>
                  <w14:solidFill>
                    <w14:schemeClr w14:val="tx1"/>
                  </w14:solidFill>
                </w14:textFill>
              </w:rPr>
            </w:pPr>
          </w:p>
        </w:tc>
        <w:tc>
          <w:tcPr>
            <w:tcW w:w="1173" w:type="dxa"/>
          </w:tcPr>
          <w:p w14:paraId="67E507A4">
            <w:pPr>
              <w:jc w:val="center"/>
              <w:rPr>
                <w:color w:val="000000" w:themeColor="text1"/>
                <w:sz w:val="24"/>
                <w:szCs w:val="24"/>
                <w14:textFill>
                  <w14:solidFill>
                    <w14:schemeClr w14:val="tx1"/>
                  </w14:solidFill>
                </w14:textFill>
              </w:rPr>
            </w:pPr>
          </w:p>
        </w:tc>
      </w:tr>
      <w:tr w14:paraId="1531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51A0081D">
            <w:pPr>
              <w:jc w:val="center"/>
              <w:rPr>
                <w:color w:val="000000" w:themeColor="text1"/>
                <w:sz w:val="24"/>
                <w:szCs w:val="24"/>
                <w14:textFill>
                  <w14:solidFill>
                    <w14:schemeClr w14:val="tx1"/>
                  </w14:solidFill>
                </w14:textFill>
              </w:rPr>
            </w:pPr>
          </w:p>
        </w:tc>
        <w:tc>
          <w:tcPr>
            <w:tcW w:w="3291" w:type="dxa"/>
          </w:tcPr>
          <w:p w14:paraId="0A61DBD9">
            <w:pPr>
              <w:jc w:val="center"/>
              <w:rPr>
                <w:color w:val="000000" w:themeColor="text1"/>
                <w:sz w:val="24"/>
                <w:szCs w:val="24"/>
                <w14:textFill>
                  <w14:solidFill>
                    <w14:schemeClr w14:val="tx1"/>
                  </w14:solidFill>
                </w14:textFill>
              </w:rPr>
            </w:pPr>
          </w:p>
        </w:tc>
        <w:tc>
          <w:tcPr>
            <w:tcW w:w="2852" w:type="dxa"/>
          </w:tcPr>
          <w:p w14:paraId="4546D2D7">
            <w:pPr>
              <w:jc w:val="center"/>
              <w:rPr>
                <w:color w:val="000000" w:themeColor="text1"/>
                <w:sz w:val="24"/>
                <w:szCs w:val="24"/>
                <w14:textFill>
                  <w14:solidFill>
                    <w14:schemeClr w14:val="tx1"/>
                  </w14:solidFill>
                </w14:textFill>
              </w:rPr>
            </w:pPr>
          </w:p>
        </w:tc>
        <w:tc>
          <w:tcPr>
            <w:tcW w:w="1308" w:type="dxa"/>
          </w:tcPr>
          <w:p w14:paraId="04755508">
            <w:pPr>
              <w:jc w:val="center"/>
              <w:rPr>
                <w:color w:val="000000" w:themeColor="text1"/>
                <w:sz w:val="24"/>
                <w:szCs w:val="24"/>
                <w14:textFill>
                  <w14:solidFill>
                    <w14:schemeClr w14:val="tx1"/>
                  </w14:solidFill>
                </w14:textFill>
              </w:rPr>
            </w:pPr>
          </w:p>
        </w:tc>
        <w:tc>
          <w:tcPr>
            <w:tcW w:w="1173" w:type="dxa"/>
          </w:tcPr>
          <w:p w14:paraId="022BACD0">
            <w:pPr>
              <w:jc w:val="center"/>
              <w:rPr>
                <w:color w:val="000000" w:themeColor="text1"/>
                <w:sz w:val="24"/>
                <w:szCs w:val="24"/>
                <w14:textFill>
                  <w14:solidFill>
                    <w14:schemeClr w14:val="tx1"/>
                  </w14:solidFill>
                </w14:textFill>
              </w:rPr>
            </w:pPr>
          </w:p>
        </w:tc>
      </w:tr>
      <w:tr w14:paraId="3AE2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3CE862C9">
            <w:pPr>
              <w:jc w:val="center"/>
              <w:rPr>
                <w:color w:val="000000" w:themeColor="text1"/>
                <w:sz w:val="24"/>
                <w:szCs w:val="24"/>
                <w14:textFill>
                  <w14:solidFill>
                    <w14:schemeClr w14:val="tx1"/>
                  </w14:solidFill>
                </w14:textFill>
              </w:rPr>
            </w:pPr>
          </w:p>
        </w:tc>
        <w:tc>
          <w:tcPr>
            <w:tcW w:w="3291" w:type="dxa"/>
          </w:tcPr>
          <w:p w14:paraId="5164FF41">
            <w:pPr>
              <w:jc w:val="center"/>
              <w:rPr>
                <w:color w:val="000000" w:themeColor="text1"/>
                <w:sz w:val="24"/>
                <w:szCs w:val="24"/>
                <w14:textFill>
                  <w14:solidFill>
                    <w14:schemeClr w14:val="tx1"/>
                  </w14:solidFill>
                </w14:textFill>
              </w:rPr>
            </w:pPr>
          </w:p>
        </w:tc>
        <w:tc>
          <w:tcPr>
            <w:tcW w:w="2852" w:type="dxa"/>
          </w:tcPr>
          <w:p w14:paraId="1F79FC99">
            <w:pPr>
              <w:jc w:val="center"/>
              <w:rPr>
                <w:color w:val="000000" w:themeColor="text1"/>
                <w:sz w:val="24"/>
                <w:szCs w:val="24"/>
                <w14:textFill>
                  <w14:solidFill>
                    <w14:schemeClr w14:val="tx1"/>
                  </w14:solidFill>
                </w14:textFill>
              </w:rPr>
            </w:pPr>
          </w:p>
        </w:tc>
        <w:tc>
          <w:tcPr>
            <w:tcW w:w="1308" w:type="dxa"/>
          </w:tcPr>
          <w:p w14:paraId="22450730">
            <w:pPr>
              <w:jc w:val="center"/>
              <w:rPr>
                <w:color w:val="000000" w:themeColor="text1"/>
                <w:sz w:val="24"/>
                <w:szCs w:val="24"/>
                <w14:textFill>
                  <w14:solidFill>
                    <w14:schemeClr w14:val="tx1"/>
                  </w14:solidFill>
                </w14:textFill>
              </w:rPr>
            </w:pPr>
          </w:p>
        </w:tc>
        <w:tc>
          <w:tcPr>
            <w:tcW w:w="1173" w:type="dxa"/>
          </w:tcPr>
          <w:p w14:paraId="33C34BD9">
            <w:pPr>
              <w:jc w:val="center"/>
              <w:rPr>
                <w:color w:val="000000" w:themeColor="text1"/>
                <w:sz w:val="24"/>
                <w:szCs w:val="24"/>
                <w14:textFill>
                  <w14:solidFill>
                    <w14:schemeClr w14:val="tx1"/>
                  </w14:solidFill>
                </w14:textFill>
              </w:rPr>
            </w:pPr>
          </w:p>
        </w:tc>
      </w:tr>
      <w:tr w14:paraId="59C02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3FBAF668">
            <w:pPr>
              <w:jc w:val="center"/>
              <w:rPr>
                <w:color w:val="000000" w:themeColor="text1"/>
                <w:sz w:val="24"/>
                <w:szCs w:val="24"/>
                <w14:textFill>
                  <w14:solidFill>
                    <w14:schemeClr w14:val="tx1"/>
                  </w14:solidFill>
                </w14:textFill>
              </w:rPr>
            </w:pPr>
          </w:p>
        </w:tc>
        <w:tc>
          <w:tcPr>
            <w:tcW w:w="3291" w:type="dxa"/>
          </w:tcPr>
          <w:p w14:paraId="72A1AE4E">
            <w:pPr>
              <w:jc w:val="center"/>
              <w:rPr>
                <w:color w:val="000000" w:themeColor="text1"/>
                <w:sz w:val="24"/>
                <w:szCs w:val="24"/>
                <w14:textFill>
                  <w14:solidFill>
                    <w14:schemeClr w14:val="tx1"/>
                  </w14:solidFill>
                </w14:textFill>
              </w:rPr>
            </w:pPr>
          </w:p>
        </w:tc>
        <w:tc>
          <w:tcPr>
            <w:tcW w:w="2852" w:type="dxa"/>
          </w:tcPr>
          <w:p w14:paraId="53FD91FB">
            <w:pPr>
              <w:jc w:val="center"/>
              <w:rPr>
                <w:color w:val="000000" w:themeColor="text1"/>
                <w:sz w:val="24"/>
                <w:szCs w:val="24"/>
                <w14:textFill>
                  <w14:solidFill>
                    <w14:schemeClr w14:val="tx1"/>
                  </w14:solidFill>
                </w14:textFill>
              </w:rPr>
            </w:pPr>
          </w:p>
        </w:tc>
        <w:tc>
          <w:tcPr>
            <w:tcW w:w="1308" w:type="dxa"/>
          </w:tcPr>
          <w:p w14:paraId="39022A1A">
            <w:pPr>
              <w:jc w:val="center"/>
              <w:rPr>
                <w:color w:val="000000" w:themeColor="text1"/>
                <w:sz w:val="24"/>
                <w:szCs w:val="24"/>
                <w14:textFill>
                  <w14:solidFill>
                    <w14:schemeClr w14:val="tx1"/>
                  </w14:solidFill>
                </w14:textFill>
              </w:rPr>
            </w:pPr>
          </w:p>
        </w:tc>
        <w:tc>
          <w:tcPr>
            <w:tcW w:w="1173" w:type="dxa"/>
          </w:tcPr>
          <w:p w14:paraId="550FB8AB">
            <w:pPr>
              <w:jc w:val="center"/>
              <w:rPr>
                <w:color w:val="000000" w:themeColor="text1"/>
                <w:sz w:val="24"/>
                <w:szCs w:val="24"/>
                <w14:textFill>
                  <w14:solidFill>
                    <w14:schemeClr w14:val="tx1"/>
                  </w14:solidFill>
                </w14:textFill>
              </w:rPr>
            </w:pPr>
          </w:p>
        </w:tc>
      </w:tr>
      <w:tr w14:paraId="1051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374ACBA2">
            <w:pPr>
              <w:jc w:val="center"/>
              <w:rPr>
                <w:color w:val="000000" w:themeColor="text1"/>
                <w:sz w:val="24"/>
                <w:szCs w:val="24"/>
                <w14:textFill>
                  <w14:solidFill>
                    <w14:schemeClr w14:val="tx1"/>
                  </w14:solidFill>
                </w14:textFill>
              </w:rPr>
            </w:pPr>
          </w:p>
        </w:tc>
        <w:tc>
          <w:tcPr>
            <w:tcW w:w="3291" w:type="dxa"/>
          </w:tcPr>
          <w:p w14:paraId="72D9E1D2">
            <w:pPr>
              <w:jc w:val="center"/>
              <w:rPr>
                <w:color w:val="000000" w:themeColor="text1"/>
                <w:sz w:val="24"/>
                <w:szCs w:val="24"/>
                <w14:textFill>
                  <w14:solidFill>
                    <w14:schemeClr w14:val="tx1"/>
                  </w14:solidFill>
                </w14:textFill>
              </w:rPr>
            </w:pPr>
          </w:p>
        </w:tc>
        <w:tc>
          <w:tcPr>
            <w:tcW w:w="2852" w:type="dxa"/>
          </w:tcPr>
          <w:p w14:paraId="51EC8DA3">
            <w:pPr>
              <w:jc w:val="center"/>
              <w:rPr>
                <w:color w:val="000000" w:themeColor="text1"/>
                <w:sz w:val="24"/>
                <w:szCs w:val="24"/>
                <w14:textFill>
                  <w14:solidFill>
                    <w14:schemeClr w14:val="tx1"/>
                  </w14:solidFill>
                </w14:textFill>
              </w:rPr>
            </w:pPr>
          </w:p>
        </w:tc>
        <w:tc>
          <w:tcPr>
            <w:tcW w:w="1308" w:type="dxa"/>
          </w:tcPr>
          <w:p w14:paraId="1E0FC2A0">
            <w:pPr>
              <w:jc w:val="center"/>
              <w:rPr>
                <w:color w:val="000000" w:themeColor="text1"/>
                <w:sz w:val="24"/>
                <w:szCs w:val="24"/>
                <w14:textFill>
                  <w14:solidFill>
                    <w14:schemeClr w14:val="tx1"/>
                  </w14:solidFill>
                </w14:textFill>
              </w:rPr>
            </w:pPr>
          </w:p>
        </w:tc>
        <w:tc>
          <w:tcPr>
            <w:tcW w:w="1173" w:type="dxa"/>
          </w:tcPr>
          <w:p w14:paraId="787647A2">
            <w:pPr>
              <w:jc w:val="center"/>
              <w:rPr>
                <w:color w:val="000000" w:themeColor="text1"/>
                <w:sz w:val="24"/>
                <w:szCs w:val="24"/>
                <w14:textFill>
                  <w14:solidFill>
                    <w14:schemeClr w14:val="tx1"/>
                  </w14:solidFill>
                </w14:textFill>
              </w:rPr>
            </w:pPr>
          </w:p>
        </w:tc>
      </w:tr>
      <w:tr w14:paraId="1D35F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3C52D376">
            <w:pPr>
              <w:jc w:val="center"/>
              <w:rPr>
                <w:color w:val="000000" w:themeColor="text1"/>
                <w:sz w:val="24"/>
                <w:szCs w:val="24"/>
                <w14:textFill>
                  <w14:solidFill>
                    <w14:schemeClr w14:val="tx1"/>
                  </w14:solidFill>
                </w14:textFill>
              </w:rPr>
            </w:pPr>
          </w:p>
        </w:tc>
        <w:tc>
          <w:tcPr>
            <w:tcW w:w="3291" w:type="dxa"/>
          </w:tcPr>
          <w:p w14:paraId="5FDF61D9">
            <w:pPr>
              <w:jc w:val="center"/>
              <w:rPr>
                <w:color w:val="000000" w:themeColor="text1"/>
                <w:sz w:val="24"/>
                <w:szCs w:val="24"/>
                <w14:textFill>
                  <w14:solidFill>
                    <w14:schemeClr w14:val="tx1"/>
                  </w14:solidFill>
                </w14:textFill>
              </w:rPr>
            </w:pPr>
          </w:p>
        </w:tc>
        <w:tc>
          <w:tcPr>
            <w:tcW w:w="2852" w:type="dxa"/>
          </w:tcPr>
          <w:p w14:paraId="0A446E6B">
            <w:pPr>
              <w:jc w:val="center"/>
              <w:rPr>
                <w:color w:val="000000" w:themeColor="text1"/>
                <w:sz w:val="24"/>
                <w:szCs w:val="24"/>
                <w14:textFill>
                  <w14:solidFill>
                    <w14:schemeClr w14:val="tx1"/>
                  </w14:solidFill>
                </w14:textFill>
              </w:rPr>
            </w:pPr>
          </w:p>
        </w:tc>
        <w:tc>
          <w:tcPr>
            <w:tcW w:w="1308" w:type="dxa"/>
          </w:tcPr>
          <w:p w14:paraId="1B9F32A0">
            <w:pPr>
              <w:jc w:val="center"/>
              <w:rPr>
                <w:color w:val="000000" w:themeColor="text1"/>
                <w:sz w:val="24"/>
                <w:szCs w:val="24"/>
                <w14:textFill>
                  <w14:solidFill>
                    <w14:schemeClr w14:val="tx1"/>
                  </w14:solidFill>
                </w14:textFill>
              </w:rPr>
            </w:pPr>
          </w:p>
        </w:tc>
        <w:tc>
          <w:tcPr>
            <w:tcW w:w="1173" w:type="dxa"/>
          </w:tcPr>
          <w:p w14:paraId="221D753C">
            <w:pPr>
              <w:jc w:val="center"/>
              <w:rPr>
                <w:color w:val="000000" w:themeColor="text1"/>
                <w:sz w:val="24"/>
                <w:szCs w:val="24"/>
                <w14:textFill>
                  <w14:solidFill>
                    <w14:schemeClr w14:val="tx1"/>
                  </w14:solidFill>
                </w14:textFill>
              </w:rPr>
            </w:pPr>
          </w:p>
        </w:tc>
      </w:tr>
      <w:tr w14:paraId="6608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74A96C0D">
            <w:pPr>
              <w:jc w:val="center"/>
              <w:rPr>
                <w:color w:val="000000" w:themeColor="text1"/>
                <w:sz w:val="24"/>
                <w:szCs w:val="24"/>
                <w14:textFill>
                  <w14:solidFill>
                    <w14:schemeClr w14:val="tx1"/>
                  </w14:solidFill>
                </w14:textFill>
              </w:rPr>
            </w:pPr>
          </w:p>
        </w:tc>
        <w:tc>
          <w:tcPr>
            <w:tcW w:w="3291" w:type="dxa"/>
          </w:tcPr>
          <w:p w14:paraId="227C3D0E">
            <w:pPr>
              <w:jc w:val="center"/>
              <w:rPr>
                <w:color w:val="000000" w:themeColor="text1"/>
                <w:sz w:val="24"/>
                <w:szCs w:val="24"/>
                <w14:textFill>
                  <w14:solidFill>
                    <w14:schemeClr w14:val="tx1"/>
                  </w14:solidFill>
                </w14:textFill>
              </w:rPr>
            </w:pPr>
          </w:p>
        </w:tc>
        <w:tc>
          <w:tcPr>
            <w:tcW w:w="2852" w:type="dxa"/>
          </w:tcPr>
          <w:p w14:paraId="627A993B">
            <w:pPr>
              <w:jc w:val="center"/>
              <w:rPr>
                <w:color w:val="000000" w:themeColor="text1"/>
                <w:sz w:val="24"/>
                <w:szCs w:val="24"/>
                <w14:textFill>
                  <w14:solidFill>
                    <w14:schemeClr w14:val="tx1"/>
                  </w14:solidFill>
                </w14:textFill>
              </w:rPr>
            </w:pPr>
          </w:p>
        </w:tc>
        <w:tc>
          <w:tcPr>
            <w:tcW w:w="1308" w:type="dxa"/>
          </w:tcPr>
          <w:p w14:paraId="19E7FDB1">
            <w:pPr>
              <w:jc w:val="center"/>
              <w:rPr>
                <w:color w:val="000000" w:themeColor="text1"/>
                <w:sz w:val="24"/>
                <w:szCs w:val="24"/>
                <w14:textFill>
                  <w14:solidFill>
                    <w14:schemeClr w14:val="tx1"/>
                  </w14:solidFill>
                </w14:textFill>
              </w:rPr>
            </w:pPr>
          </w:p>
        </w:tc>
        <w:tc>
          <w:tcPr>
            <w:tcW w:w="1173" w:type="dxa"/>
          </w:tcPr>
          <w:p w14:paraId="78ABCBE5">
            <w:pPr>
              <w:jc w:val="center"/>
              <w:rPr>
                <w:color w:val="000000" w:themeColor="text1"/>
                <w:sz w:val="24"/>
                <w:szCs w:val="24"/>
                <w14:textFill>
                  <w14:solidFill>
                    <w14:schemeClr w14:val="tx1"/>
                  </w14:solidFill>
                </w14:textFill>
              </w:rPr>
            </w:pPr>
          </w:p>
        </w:tc>
      </w:tr>
      <w:tr w14:paraId="2012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tcPr>
          <w:p w14:paraId="1BE6DEBF">
            <w:pPr>
              <w:jc w:val="center"/>
              <w:rPr>
                <w:color w:val="000000" w:themeColor="text1"/>
                <w:sz w:val="24"/>
                <w:szCs w:val="24"/>
                <w14:textFill>
                  <w14:solidFill>
                    <w14:schemeClr w14:val="tx1"/>
                  </w14:solidFill>
                </w14:textFill>
              </w:rPr>
            </w:pPr>
          </w:p>
        </w:tc>
        <w:tc>
          <w:tcPr>
            <w:tcW w:w="3291" w:type="dxa"/>
          </w:tcPr>
          <w:p w14:paraId="6AF5DC20">
            <w:pPr>
              <w:jc w:val="center"/>
              <w:rPr>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w:t>
            </w:r>
          </w:p>
        </w:tc>
        <w:tc>
          <w:tcPr>
            <w:tcW w:w="2852" w:type="dxa"/>
          </w:tcPr>
          <w:p w14:paraId="6F006C7E">
            <w:pPr>
              <w:jc w:val="center"/>
              <w:rPr>
                <w:color w:val="000000" w:themeColor="text1"/>
                <w:sz w:val="24"/>
                <w:szCs w:val="24"/>
                <w14:textFill>
                  <w14:solidFill>
                    <w14:schemeClr w14:val="tx1"/>
                  </w14:solidFill>
                </w14:textFill>
              </w:rPr>
            </w:pPr>
          </w:p>
        </w:tc>
        <w:tc>
          <w:tcPr>
            <w:tcW w:w="1308" w:type="dxa"/>
          </w:tcPr>
          <w:p w14:paraId="6D6B8DD5">
            <w:pPr>
              <w:jc w:val="center"/>
              <w:rPr>
                <w:color w:val="000000" w:themeColor="text1"/>
                <w:sz w:val="24"/>
                <w:szCs w:val="24"/>
                <w14:textFill>
                  <w14:solidFill>
                    <w14:schemeClr w14:val="tx1"/>
                  </w14:solidFill>
                </w14:textFill>
              </w:rPr>
            </w:pPr>
          </w:p>
        </w:tc>
        <w:tc>
          <w:tcPr>
            <w:tcW w:w="1173" w:type="dxa"/>
          </w:tcPr>
          <w:p w14:paraId="4A8505E5">
            <w:pPr>
              <w:jc w:val="center"/>
              <w:rPr>
                <w:color w:val="000000" w:themeColor="text1"/>
                <w:sz w:val="24"/>
                <w:szCs w:val="24"/>
                <w14:textFill>
                  <w14:solidFill>
                    <w14:schemeClr w14:val="tx1"/>
                  </w14:solidFill>
                </w14:textFill>
              </w:rPr>
            </w:pPr>
          </w:p>
        </w:tc>
      </w:tr>
    </w:tbl>
    <w:p w14:paraId="3C8F288D">
      <w:pPr>
        <w:spacing w:line="588" w:lineRule="exact"/>
        <w:rPr>
          <w:rFonts w:eastAsia="方正仿宋_GBK"/>
          <w:b/>
          <w:bCs/>
          <w:color w:val="000000" w:themeColor="text1"/>
          <w:sz w:val="24"/>
          <w14:textFill>
            <w14:solidFill>
              <w14:schemeClr w14:val="tx1"/>
            </w14:solidFill>
          </w14:textFill>
        </w:rPr>
      </w:pPr>
      <w:r>
        <w:rPr>
          <w:rFonts w:eastAsia="方正仿宋_GBK"/>
          <w:b/>
          <w:bCs/>
          <w:color w:val="000000" w:themeColor="text1"/>
          <w:sz w:val="24"/>
          <w14:textFill>
            <w14:solidFill>
              <w14:schemeClr w14:val="tx1"/>
            </w14:solidFill>
          </w14:textFill>
        </w:rPr>
        <w:t>1.投标人必须对技术要求和商务要求中的实质性要求（打“★”内容）做出明确响应，否则作无效响应处理。</w:t>
      </w:r>
    </w:p>
    <w:p w14:paraId="656A290B">
      <w:pPr>
        <w:spacing w:line="588" w:lineRule="exact"/>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2.如果采购文件要求提供证明材料，投标人必须将证明材料列于该表之下。</w:t>
      </w:r>
    </w:p>
    <w:p w14:paraId="38DB8E8C">
      <w:pPr>
        <w:spacing w:line="588" w:lineRule="exact"/>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3.投标人未对实质性要求作出明确响应的，或未按采购文件要求提供证明材料的，该分包作无效响应处理。</w:t>
      </w:r>
    </w:p>
    <w:p w14:paraId="3B27FB36">
      <w:pPr>
        <w:spacing w:line="588" w:lineRule="exact"/>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4.行数不够，可自行添加。</w:t>
      </w:r>
    </w:p>
    <w:p w14:paraId="420DB6EC">
      <w:pPr>
        <w:jc w:val="center"/>
        <w:rPr>
          <w:rFonts w:eastAsia="方正黑体_GBK"/>
          <w:b/>
          <w:color w:val="000000" w:themeColor="text1"/>
          <w:sz w:val="36"/>
          <w14:textFill>
            <w14:solidFill>
              <w14:schemeClr w14:val="tx1"/>
            </w14:solidFill>
          </w14:textFill>
        </w:rPr>
      </w:pPr>
    </w:p>
    <w:p w14:paraId="7F36B27A">
      <w:pPr>
        <w:pStyle w:val="310"/>
        <w:outlineLvl w:val="1"/>
        <w:rPr>
          <w:rFonts w:ascii="Times New Roman" w:hAnsi="Times New Roman" w:eastAsia="方正黑体_GBK" w:cs="Times New Roman"/>
          <w:color w:val="000000" w:themeColor="text1"/>
          <w14:textFill>
            <w14:solidFill>
              <w14:schemeClr w14:val="tx1"/>
            </w14:solidFill>
          </w14:textFill>
        </w:rPr>
      </w:pPr>
    </w:p>
    <w:p w14:paraId="735945D1">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6A4A696">
      <w:pPr>
        <w:spacing w:line="560" w:lineRule="exact"/>
        <w:jc w:val="left"/>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九、项目组人员</w:t>
      </w:r>
    </w:p>
    <w:p w14:paraId="784F335F">
      <w:pPr>
        <w:spacing w:line="560" w:lineRule="exact"/>
        <w:jc w:val="cente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项目组成员</w:t>
      </w:r>
    </w:p>
    <w:tbl>
      <w:tblPr>
        <w:tblStyle w:val="31"/>
        <w:tblpPr w:leftFromText="180" w:rightFromText="180" w:vertAnchor="text" w:horzAnchor="margin" w:tblpXSpec="center" w:tblpY="7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2976"/>
        <w:gridCol w:w="1702"/>
        <w:gridCol w:w="962"/>
      </w:tblGrid>
      <w:tr w14:paraId="5A27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vAlign w:val="center"/>
          </w:tcPr>
          <w:p w14:paraId="5A960F84">
            <w:pPr>
              <w:pStyle w:val="311"/>
              <w:widowControl/>
              <w:spacing w:beforeAutospacing="1" w:line="560" w:lineRule="exact"/>
              <w:jc w:val="center"/>
              <w:rPr>
                <w:rFonts w:eastAsia="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姓名</w:t>
            </w:r>
          </w:p>
        </w:tc>
        <w:tc>
          <w:tcPr>
            <w:tcW w:w="1843" w:type="dxa"/>
            <w:vAlign w:val="center"/>
          </w:tcPr>
          <w:p w14:paraId="20910DF6">
            <w:pPr>
              <w:pStyle w:val="311"/>
              <w:widowControl/>
              <w:spacing w:beforeAutospacing="1" w:line="560" w:lineRule="exact"/>
              <w:jc w:val="center"/>
              <w:rPr>
                <w:rFonts w:eastAsia="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职务</w:t>
            </w:r>
          </w:p>
        </w:tc>
        <w:tc>
          <w:tcPr>
            <w:tcW w:w="2976" w:type="dxa"/>
            <w:vAlign w:val="center"/>
          </w:tcPr>
          <w:p w14:paraId="090DCFBC">
            <w:pPr>
              <w:pStyle w:val="311"/>
              <w:widowControl/>
              <w:spacing w:beforeAutospacing="1" w:line="560" w:lineRule="exact"/>
              <w:ind w:firstLine="280"/>
              <w:rPr>
                <w:rFonts w:eastAsia="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身份证号</w:t>
            </w:r>
          </w:p>
        </w:tc>
        <w:tc>
          <w:tcPr>
            <w:tcW w:w="1702" w:type="dxa"/>
            <w:vAlign w:val="center"/>
          </w:tcPr>
          <w:p w14:paraId="172E39ED">
            <w:pPr>
              <w:pStyle w:val="311"/>
              <w:widowControl/>
              <w:spacing w:beforeAutospacing="1" w:line="560" w:lineRule="exact"/>
              <w:jc w:val="center"/>
              <w:rPr>
                <w:rFonts w:eastAsia="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相关证书</w:t>
            </w:r>
          </w:p>
        </w:tc>
        <w:tc>
          <w:tcPr>
            <w:tcW w:w="962" w:type="dxa"/>
            <w:vAlign w:val="center"/>
          </w:tcPr>
          <w:p w14:paraId="4DD423CE">
            <w:pPr>
              <w:pStyle w:val="311"/>
              <w:widowControl/>
              <w:spacing w:beforeAutospacing="1" w:line="560" w:lineRule="exact"/>
              <w:rPr>
                <w:rFonts w:eastAsia="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备注</w:t>
            </w:r>
          </w:p>
        </w:tc>
      </w:tr>
      <w:tr w14:paraId="7469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7597F539">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60946974">
            <w:pPr>
              <w:pStyle w:val="249"/>
              <w:jc w:val="center"/>
              <w:rPr>
                <w:rFonts w:hint="eastAsia" w:ascii="Times New Roman" w:hAnsi="Times New Roman" w:eastAsia="方正仿宋_GBK" w:cs="Times New Roman"/>
                <w:color w:val="000000" w:themeColor="text1"/>
                <w:sz w:val="20"/>
                <w:szCs w:val="20"/>
                <w:lang w:eastAsia="zh-CN"/>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项目</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负责人</w:t>
            </w:r>
          </w:p>
        </w:tc>
        <w:tc>
          <w:tcPr>
            <w:tcW w:w="2976" w:type="dxa"/>
            <w:vAlign w:val="center"/>
          </w:tcPr>
          <w:p w14:paraId="7C09DAE8">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0CD595B0">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3504A3D4">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6F94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06E825CA">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01B59C7E">
            <w:pPr>
              <w:pStyle w:val="249"/>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w:t>
            </w:r>
          </w:p>
        </w:tc>
        <w:tc>
          <w:tcPr>
            <w:tcW w:w="2976" w:type="dxa"/>
            <w:vAlign w:val="center"/>
          </w:tcPr>
          <w:p w14:paraId="26ED2A6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2FDDE099">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1FC0E4F6">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45681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059E703A">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5A314BE2">
            <w:pPr>
              <w:pStyle w:val="249"/>
              <w:ind w:firstLine="28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w:t>
            </w:r>
          </w:p>
        </w:tc>
        <w:tc>
          <w:tcPr>
            <w:tcW w:w="2976" w:type="dxa"/>
            <w:vAlign w:val="center"/>
          </w:tcPr>
          <w:p w14:paraId="5733BC45">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43E55ED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5530873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373CC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304BF266">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7DEAD1B4">
            <w:pPr>
              <w:pStyle w:val="249"/>
              <w:rPr>
                <w:rFonts w:ascii="Times New Roman" w:hAnsi="Times New Roman" w:eastAsia="仿宋_GB2312" w:cs="Times New Roman"/>
                <w:color w:val="000000" w:themeColor="text1"/>
                <w:sz w:val="28"/>
                <w:szCs w:val="28"/>
                <w14:textFill>
                  <w14:solidFill>
                    <w14:schemeClr w14:val="tx1"/>
                  </w14:solidFill>
                </w14:textFill>
              </w:rPr>
            </w:pPr>
          </w:p>
        </w:tc>
        <w:tc>
          <w:tcPr>
            <w:tcW w:w="2976" w:type="dxa"/>
            <w:vAlign w:val="center"/>
          </w:tcPr>
          <w:p w14:paraId="6597D857">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34D6F545">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4BA5ADA8">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5CE7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739BE045">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73E9E3CD">
            <w:pPr>
              <w:pStyle w:val="249"/>
              <w:rPr>
                <w:rFonts w:ascii="Times New Roman" w:hAnsi="Times New Roman" w:eastAsia="仿宋_GB2312" w:cs="Times New Roman"/>
                <w:color w:val="000000" w:themeColor="text1"/>
                <w:sz w:val="28"/>
                <w:szCs w:val="28"/>
                <w14:textFill>
                  <w14:solidFill>
                    <w14:schemeClr w14:val="tx1"/>
                  </w14:solidFill>
                </w14:textFill>
              </w:rPr>
            </w:pPr>
          </w:p>
        </w:tc>
        <w:tc>
          <w:tcPr>
            <w:tcW w:w="2976" w:type="dxa"/>
            <w:vAlign w:val="center"/>
          </w:tcPr>
          <w:p w14:paraId="2788A1E3">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62B430A5">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6B0C2AF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0F61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0C696FB8">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63319C73">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2976" w:type="dxa"/>
            <w:vAlign w:val="center"/>
          </w:tcPr>
          <w:p w14:paraId="070CAA94">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33B739E1">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0BCD21D0">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3FD11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23DF87A6">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769318F3">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2976" w:type="dxa"/>
            <w:vAlign w:val="center"/>
          </w:tcPr>
          <w:p w14:paraId="232D0CEC">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2A79F0CB">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3678B776">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56FC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6733DD0C">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6743D4EA">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2976" w:type="dxa"/>
            <w:vAlign w:val="center"/>
          </w:tcPr>
          <w:p w14:paraId="0C8398B0">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315F8941">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18CAB5CA">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789D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106AE273">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2CBD9B7A">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2976" w:type="dxa"/>
            <w:vAlign w:val="center"/>
          </w:tcPr>
          <w:p w14:paraId="4F0932C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58D69812">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4FB0857C">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r w14:paraId="36B7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vAlign w:val="center"/>
          </w:tcPr>
          <w:p w14:paraId="1BA73DB0">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843" w:type="dxa"/>
            <w:vAlign w:val="center"/>
          </w:tcPr>
          <w:p w14:paraId="31B91ABF">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2976" w:type="dxa"/>
            <w:vAlign w:val="center"/>
          </w:tcPr>
          <w:p w14:paraId="250C6570">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1702" w:type="dxa"/>
            <w:vAlign w:val="center"/>
          </w:tcPr>
          <w:p w14:paraId="1242661C">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c>
          <w:tcPr>
            <w:tcW w:w="962" w:type="dxa"/>
            <w:vAlign w:val="center"/>
          </w:tcPr>
          <w:p w14:paraId="0031DAAE">
            <w:pPr>
              <w:pStyle w:val="311"/>
              <w:widowControl/>
              <w:spacing w:line="560" w:lineRule="exact"/>
              <w:ind w:firstLine="560"/>
              <w:jc w:val="center"/>
              <w:rPr>
                <w:rFonts w:eastAsia="仿宋_GB2312"/>
                <w:color w:val="000000" w:themeColor="text1"/>
                <w:sz w:val="28"/>
                <w:szCs w:val="28"/>
                <w14:textFill>
                  <w14:solidFill>
                    <w14:schemeClr w14:val="tx1"/>
                  </w14:solidFill>
                </w14:textFill>
              </w:rPr>
            </w:pPr>
          </w:p>
        </w:tc>
      </w:tr>
    </w:tbl>
    <w:p w14:paraId="474E985E">
      <w:pPr>
        <w:pStyle w:val="249"/>
        <w:spacing w:line="460" w:lineRule="exact"/>
        <w:ind w:firstLine="398"/>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b/>
          <w:color w:val="000000" w:themeColor="text1"/>
          <w14:textFill>
            <w14:solidFill>
              <w14:schemeClr w14:val="tx1"/>
            </w14:solidFill>
          </w14:textFill>
        </w:rPr>
        <w:t>注：如</w:t>
      </w:r>
      <w:r>
        <w:rPr>
          <w:rFonts w:hint="eastAsia" w:ascii="Times New Roman" w:hAnsi="Times New Roman" w:eastAsia="方正仿宋_GBK" w:cs="Times New Roman"/>
          <w:b/>
          <w:color w:val="000000" w:themeColor="text1"/>
          <w:lang w:eastAsia="zh-CN"/>
          <w14:textFill>
            <w14:solidFill>
              <w14:schemeClr w14:val="tx1"/>
            </w14:solidFill>
          </w14:textFill>
        </w:rPr>
        <w:t>投标人</w:t>
      </w:r>
      <w:r>
        <w:rPr>
          <w:rFonts w:ascii="Times New Roman" w:hAnsi="Times New Roman" w:eastAsia="方正仿宋_GBK" w:cs="Times New Roman"/>
          <w:b/>
          <w:color w:val="000000" w:themeColor="text1"/>
          <w14:textFill>
            <w14:solidFill>
              <w14:schemeClr w14:val="tx1"/>
            </w14:solidFill>
          </w14:textFill>
        </w:rPr>
        <w:t>中标，项目组成员必须按本表承诺人员操作，不得随意更换。按招标文件要求附相关人员证书。</w:t>
      </w:r>
    </w:p>
    <w:p w14:paraId="08919BE7">
      <w:pPr>
        <w:pStyle w:val="249"/>
        <w:spacing w:line="500" w:lineRule="exact"/>
        <w:ind w:firstLine="280"/>
        <w:rPr>
          <w:rFonts w:ascii="Times New Roman" w:hAnsi="Times New Roman" w:eastAsia="方正仿宋_GBK" w:cs="Times New Roman"/>
          <w:color w:val="000000" w:themeColor="text1"/>
          <w14:textFill>
            <w14:solidFill>
              <w14:schemeClr w14:val="tx1"/>
            </w14:solidFill>
          </w14:textFill>
        </w:rPr>
      </w:pPr>
    </w:p>
    <w:p w14:paraId="5F23E480">
      <w:pPr>
        <w:spacing w:line="560" w:lineRule="exact"/>
        <w:jc w:val="left"/>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eastAsia="方正仿宋_GBK"/>
          <w:color w:val="000000" w:themeColor="text1"/>
          <w14:textFill>
            <w14:solidFill>
              <w14:schemeClr w14:val="tx1"/>
            </w14:solidFill>
          </w14:textFill>
        </w:rPr>
        <w:br w:type="page" w:clear="all"/>
      </w:r>
      <w:bookmarkStart w:id="232" w:name="_Toc11176"/>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十、</w:t>
      </w:r>
      <w:bookmarkEnd w:id="232"/>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企业业绩</w:t>
      </w:r>
    </w:p>
    <w:p w14:paraId="7694ED3D">
      <w:pPr>
        <w:spacing w:line="560" w:lineRule="exact"/>
        <w:jc w:val="cente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投标人承担类似项目业绩一览表</w:t>
      </w:r>
    </w:p>
    <w:tbl>
      <w:tblPr>
        <w:tblStyle w:val="31"/>
        <w:tblW w:w="10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gridCol w:w="1395"/>
      </w:tblGrid>
      <w:tr w14:paraId="0F7E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229" w:type="dxa"/>
            <w:vAlign w:val="center"/>
          </w:tcPr>
          <w:p w14:paraId="5AFC82F3">
            <w:pPr>
              <w:pStyle w:val="314"/>
              <w:spacing w:line="32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序号</w:t>
            </w:r>
          </w:p>
        </w:tc>
        <w:tc>
          <w:tcPr>
            <w:tcW w:w="3827" w:type="dxa"/>
            <w:vAlign w:val="center"/>
          </w:tcPr>
          <w:p w14:paraId="492AD7E5">
            <w:pPr>
              <w:pStyle w:val="314"/>
              <w:spacing w:line="32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项目名称</w:t>
            </w:r>
          </w:p>
        </w:tc>
        <w:tc>
          <w:tcPr>
            <w:tcW w:w="2433" w:type="dxa"/>
            <w:vAlign w:val="center"/>
          </w:tcPr>
          <w:p w14:paraId="070758A6">
            <w:pPr>
              <w:pStyle w:val="314"/>
              <w:spacing w:line="320" w:lineRule="exact"/>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采购单位</w:t>
            </w:r>
          </w:p>
        </w:tc>
        <w:tc>
          <w:tcPr>
            <w:tcW w:w="1395" w:type="dxa"/>
            <w:vAlign w:val="center"/>
          </w:tcPr>
          <w:p w14:paraId="2B4A21F6">
            <w:pPr>
              <w:pStyle w:val="314"/>
              <w:spacing w:line="320" w:lineRule="exact"/>
              <w:jc w:val="center"/>
              <w:rPr>
                <w:rFonts w:hint="eastAsia" w:ascii="方正黑体_GBK" w:hAnsi="方正黑体_GBK" w:eastAsia="方正黑体_GBK" w:cs="方正黑体_GBK"/>
                <w:color w:val="000000" w:themeColor="text1"/>
                <w:szCs w:val="21"/>
                <w:lang w:eastAsia="zh-CN"/>
                <w14:textFill>
                  <w14:solidFill>
                    <w14:schemeClr w14:val="tx1"/>
                  </w14:solidFill>
                </w14:textFill>
              </w:rPr>
            </w:pPr>
            <w:r>
              <w:rPr>
                <w:rFonts w:hint="eastAsia" w:ascii="方正黑体_GBK" w:hAnsi="方正黑体_GBK" w:eastAsia="方正黑体_GBK" w:cs="方正黑体_GBK"/>
                <w:color w:val="000000" w:themeColor="text1"/>
                <w:szCs w:val="21"/>
                <w:lang w:eastAsia="zh-CN"/>
                <w14:textFill>
                  <w14:solidFill>
                    <w14:schemeClr w14:val="tx1"/>
                  </w14:solidFill>
                </w14:textFill>
              </w:rPr>
              <w:t>合同签订时间</w:t>
            </w:r>
          </w:p>
        </w:tc>
        <w:tc>
          <w:tcPr>
            <w:tcW w:w="1395" w:type="dxa"/>
            <w:vAlign w:val="center"/>
          </w:tcPr>
          <w:p w14:paraId="3F835718">
            <w:pPr>
              <w:pStyle w:val="314"/>
              <w:spacing w:line="320" w:lineRule="exact"/>
              <w:jc w:val="center"/>
              <w:rPr>
                <w:rFonts w:hint="eastAsia" w:ascii="方正黑体_GBK" w:hAnsi="方正黑体_GBK" w:eastAsia="方正黑体_GBK" w:cs="方正黑体_GBK"/>
                <w:color w:val="000000" w:themeColor="text1"/>
                <w:szCs w:val="21"/>
                <w:lang w:eastAsia="zh-CN"/>
                <w14:textFill>
                  <w14:solidFill>
                    <w14:schemeClr w14:val="tx1"/>
                  </w14:solidFill>
                </w14:textFill>
              </w:rPr>
            </w:pPr>
            <w:r>
              <w:rPr>
                <w:rFonts w:hint="eastAsia" w:ascii="方正黑体_GBK" w:hAnsi="方正黑体_GBK" w:eastAsia="方正黑体_GBK" w:cs="方正黑体_GBK"/>
                <w:color w:val="000000" w:themeColor="text1"/>
                <w:szCs w:val="21"/>
                <w:lang w:eastAsia="zh-CN"/>
                <w14:textFill>
                  <w14:solidFill>
                    <w14:schemeClr w14:val="tx1"/>
                  </w14:solidFill>
                </w14:textFill>
              </w:rPr>
              <w:t>备注</w:t>
            </w:r>
          </w:p>
        </w:tc>
      </w:tr>
      <w:tr w14:paraId="34F6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730F058A">
            <w:pPr>
              <w:pStyle w:val="314"/>
              <w:spacing w:line="560" w:lineRule="exact"/>
              <w:jc w:val="center"/>
              <w:rPr>
                <w:rFonts w:eastAsia="仿宋_GB2312"/>
                <w:color w:val="000000" w:themeColor="text1"/>
                <w:sz w:val="28"/>
                <w14:textFill>
                  <w14:solidFill>
                    <w14:schemeClr w14:val="tx1"/>
                  </w14:solidFill>
                </w14:textFill>
              </w:rPr>
            </w:pPr>
          </w:p>
        </w:tc>
        <w:tc>
          <w:tcPr>
            <w:tcW w:w="3827" w:type="dxa"/>
            <w:vAlign w:val="center"/>
          </w:tcPr>
          <w:p w14:paraId="78E87B25">
            <w:pPr>
              <w:pStyle w:val="314"/>
              <w:spacing w:line="560" w:lineRule="exact"/>
              <w:jc w:val="center"/>
              <w:rPr>
                <w:rFonts w:eastAsia="仿宋_GB2312"/>
                <w:color w:val="000000" w:themeColor="text1"/>
                <w:sz w:val="28"/>
                <w14:textFill>
                  <w14:solidFill>
                    <w14:schemeClr w14:val="tx1"/>
                  </w14:solidFill>
                </w14:textFill>
              </w:rPr>
            </w:pPr>
          </w:p>
        </w:tc>
        <w:tc>
          <w:tcPr>
            <w:tcW w:w="2433" w:type="dxa"/>
            <w:vAlign w:val="center"/>
          </w:tcPr>
          <w:p w14:paraId="14FC9128">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7ED674D3">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4A3BC591">
            <w:pPr>
              <w:pStyle w:val="314"/>
              <w:spacing w:line="560" w:lineRule="exact"/>
              <w:jc w:val="center"/>
              <w:rPr>
                <w:rFonts w:eastAsia="仿宋_GB2312"/>
                <w:color w:val="000000" w:themeColor="text1"/>
                <w:sz w:val="28"/>
                <w14:textFill>
                  <w14:solidFill>
                    <w14:schemeClr w14:val="tx1"/>
                  </w14:solidFill>
                </w14:textFill>
              </w:rPr>
            </w:pPr>
          </w:p>
        </w:tc>
      </w:tr>
      <w:tr w14:paraId="38A15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07F05AB9">
            <w:pPr>
              <w:pStyle w:val="314"/>
              <w:spacing w:line="560" w:lineRule="exact"/>
              <w:jc w:val="center"/>
              <w:rPr>
                <w:rFonts w:eastAsia="仿宋_GB2312"/>
                <w:color w:val="000000" w:themeColor="text1"/>
                <w:sz w:val="28"/>
                <w14:textFill>
                  <w14:solidFill>
                    <w14:schemeClr w14:val="tx1"/>
                  </w14:solidFill>
                </w14:textFill>
              </w:rPr>
            </w:pPr>
          </w:p>
        </w:tc>
        <w:tc>
          <w:tcPr>
            <w:tcW w:w="3827" w:type="dxa"/>
            <w:vAlign w:val="center"/>
          </w:tcPr>
          <w:p w14:paraId="009C45F7">
            <w:pPr>
              <w:pStyle w:val="314"/>
              <w:spacing w:line="560" w:lineRule="exact"/>
              <w:jc w:val="center"/>
              <w:rPr>
                <w:rFonts w:eastAsia="仿宋_GB2312"/>
                <w:color w:val="000000" w:themeColor="text1"/>
                <w:sz w:val="28"/>
                <w14:textFill>
                  <w14:solidFill>
                    <w14:schemeClr w14:val="tx1"/>
                  </w14:solidFill>
                </w14:textFill>
              </w:rPr>
            </w:pPr>
          </w:p>
        </w:tc>
        <w:tc>
          <w:tcPr>
            <w:tcW w:w="2433" w:type="dxa"/>
            <w:vAlign w:val="center"/>
          </w:tcPr>
          <w:p w14:paraId="49BC54E3">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2A1D5033">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21E2EAF0">
            <w:pPr>
              <w:pStyle w:val="314"/>
              <w:spacing w:line="560" w:lineRule="exact"/>
              <w:jc w:val="center"/>
              <w:rPr>
                <w:rFonts w:eastAsia="仿宋_GB2312"/>
                <w:color w:val="000000" w:themeColor="text1"/>
                <w:sz w:val="28"/>
                <w14:textFill>
                  <w14:solidFill>
                    <w14:schemeClr w14:val="tx1"/>
                  </w14:solidFill>
                </w14:textFill>
              </w:rPr>
            </w:pPr>
          </w:p>
        </w:tc>
      </w:tr>
      <w:tr w14:paraId="5667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7EF3671">
            <w:pPr>
              <w:pStyle w:val="314"/>
              <w:spacing w:line="560" w:lineRule="exact"/>
              <w:jc w:val="center"/>
              <w:rPr>
                <w:rFonts w:eastAsia="仿宋_GB2312"/>
                <w:color w:val="000000" w:themeColor="text1"/>
                <w:sz w:val="28"/>
                <w14:textFill>
                  <w14:solidFill>
                    <w14:schemeClr w14:val="tx1"/>
                  </w14:solidFill>
                </w14:textFill>
              </w:rPr>
            </w:pPr>
          </w:p>
        </w:tc>
        <w:tc>
          <w:tcPr>
            <w:tcW w:w="3827" w:type="dxa"/>
            <w:vAlign w:val="center"/>
          </w:tcPr>
          <w:p w14:paraId="51566021">
            <w:pPr>
              <w:pStyle w:val="314"/>
              <w:spacing w:line="560" w:lineRule="exact"/>
              <w:jc w:val="center"/>
              <w:rPr>
                <w:rFonts w:eastAsia="仿宋_GB2312"/>
                <w:color w:val="000000" w:themeColor="text1"/>
                <w:sz w:val="28"/>
                <w14:textFill>
                  <w14:solidFill>
                    <w14:schemeClr w14:val="tx1"/>
                  </w14:solidFill>
                </w14:textFill>
              </w:rPr>
            </w:pPr>
          </w:p>
        </w:tc>
        <w:tc>
          <w:tcPr>
            <w:tcW w:w="2433" w:type="dxa"/>
            <w:vAlign w:val="center"/>
          </w:tcPr>
          <w:p w14:paraId="46440C67">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6B001418">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45306B5B">
            <w:pPr>
              <w:pStyle w:val="314"/>
              <w:spacing w:line="560" w:lineRule="exact"/>
              <w:jc w:val="center"/>
              <w:rPr>
                <w:rFonts w:eastAsia="仿宋_GB2312"/>
                <w:color w:val="000000" w:themeColor="text1"/>
                <w:sz w:val="28"/>
                <w14:textFill>
                  <w14:solidFill>
                    <w14:schemeClr w14:val="tx1"/>
                  </w14:solidFill>
                </w14:textFill>
              </w:rPr>
            </w:pPr>
          </w:p>
        </w:tc>
      </w:tr>
      <w:tr w14:paraId="1102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14:paraId="1AF4F8A0">
            <w:pPr>
              <w:pStyle w:val="314"/>
              <w:spacing w:line="560" w:lineRule="exact"/>
              <w:jc w:val="center"/>
              <w:rPr>
                <w:rFonts w:eastAsia="仿宋_GB2312"/>
                <w:color w:val="000000" w:themeColor="text1"/>
                <w:sz w:val="28"/>
                <w14:textFill>
                  <w14:solidFill>
                    <w14:schemeClr w14:val="tx1"/>
                  </w14:solidFill>
                </w14:textFill>
              </w:rPr>
            </w:pPr>
          </w:p>
        </w:tc>
        <w:tc>
          <w:tcPr>
            <w:tcW w:w="3827" w:type="dxa"/>
            <w:vAlign w:val="center"/>
          </w:tcPr>
          <w:p w14:paraId="6C3BB223">
            <w:pPr>
              <w:pStyle w:val="314"/>
              <w:spacing w:line="560" w:lineRule="exact"/>
              <w:jc w:val="center"/>
              <w:rPr>
                <w:rFonts w:eastAsia="仿宋_GB2312"/>
                <w:color w:val="000000" w:themeColor="text1"/>
                <w:sz w:val="28"/>
                <w14:textFill>
                  <w14:solidFill>
                    <w14:schemeClr w14:val="tx1"/>
                  </w14:solidFill>
                </w14:textFill>
              </w:rPr>
            </w:pPr>
          </w:p>
        </w:tc>
        <w:tc>
          <w:tcPr>
            <w:tcW w:w="2433" w:type="dxa"/>
            <w:vAlign w:val="center"/>
          </w:tcPr>
          <w:p w14:paraId="3F5DBADC">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507DFAA8">
            <w:pPr>
              <w:pStyle w:val="314"/>
              <w:spacing w:line="560" w:lineRule="exact"/>
              <w:jc w:val="center"/>
              <w:rPr>
                <w:rFonts w:eastAsia="仿宋_GB2312"/>
                <w:color w:val="000000" w:themeColor="text1"/>
                <w:sz w:val="28"/>
                <w14:textFill>
                  <w14:solidFill>
                    <w14:schemeClr w14:val="tx1"/>
                  </w14:solidFill>
                </w14:textFill>
              </w:rPr>
            </w:pPr>
          </w:p>
        </w:tc>
        <w:tc>
          <w:tcPr>
            <w:tcW w:w="1395" w:type="dxa"/>
            <w:vAlign w:val="center"/>
          </w:tcPr>
          <w:p w14:paraId="512C3061">
            <w:pPr>
              <w:pStyle w:val="314"/>
              <w:spacing w:line="560" w:lineRule="exact"/>
              <w:jc w:val="center"/>
              <w:rPr>
                <w:rFonts w:eastAsia="仿宋_GB2312"/>
                <w:color w:val="000000" w:themeColor="text1"/>
                <w:sz w:val="28"/>
                <w14:textFill>
                  <w14:solidFill>
                    <w14:schemeClr w14:val="tx1"/>
                  </w14:solidFill>
                </w14:textFill>
              </w:rPr>
            </w:pPr>
          </w:p>
        </w:tc>
      </w:tr>
    </w:tbl>
    <w:p w14:paraId="50534C08">
      <w:pPr>
        <w:pStyle w:val="313"/>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sz w:val="24"/>
          <w14:textFill>
            <w14:solidFill>
              <w14:schemeClr w14:val="tx1"/>
            </w14:solidFill>
          </w14:textFill>
        </w:rPr>
        <w:t>注：请填写此表，并按要求上传业绩资料电子件。</w:t>
      </w:r>
    </w:p>
    <w:p w14:paraId="335918E9">
      <w:pPr>
        <w:pStyle w:val="315"/>
        <w:outlineLvl w:val="1"/>
        <w:rPr>
          <w:rFonts w:ascii="Times New Roman" w:hAnsi="Times New Roman" w:eastAsia="方正黑体_GBK" w:cs="Times New Roman"/>
          <w:color w:val="000000" w:themeColor="text1"/>
          <w14:textFill>
            <w14:solidFill>
              <w14:schemeClr w14:val="tx1"/>
            </w14:solidFill>
          </w14:textFill>
        </w:rPr>
      </w:pPr>
    </w:p>
    <w:p w14:paraId="6B693596">
      <w:pPr>
        <w:pStyle w:val="315"/>
        <w:outlineLvl w:val="1"/>
        <w:rPr>
          <w:rFonts w:ascii="Times New Roman" w:hAnsi="Times New Roman" w:eastAsia="方正黑体_GBK" w:cs="Times New Roman"/>
          <w:color w:val="000000" w:themeColor="text1"/>
          <w14:textFill>
            <w14:solidFill>
              <w14:schemeClr w14:val="tx1"/>
            </w14:solidFill>
          </w14:textFill>
        </w:rPr>
      </w:pPr>
    </w:p>
    <w:p w14:paraId="21C849E8">
      <w:pPr>
        <w:pStyle w:val="315"/>
        <w:outlineLvl w:val="1"/>
        <w:rPr>
          <w:rFonts w:ascii="Times New Roman" w:hAnsi="Times New Roman" w:eastAsia="方正黑体_GBK" w:cs="Times New Roman"/>
          <w:color w:val="000000" w:themeColor="text1"/>
          <w14:textFill>
            <w14:solidFill>
              <w14:schemeClr w14:val="tx1"/>
            </w14:solidFill>
          </w14:textFill>
        </w:rPr>
      </w:pPr>
    </w:p>
    <w:p w14:paraId="0EB02EEC">
      <w:pPr>
        <w:spacing w:line="360" w:lineRule="auto"/>
        <w:ind w:firstLine="211" w:firstLineChars="100"/>
        <w:jc w:val="center"/>
        <w:rPr>
          <w:rFonts w:hint="eastAsia" w:ascii="宋体" w:hAnsi="宋体"/>
          <w:b/>
        </w:rPr>
      </w:pPr>
    </w:p>
    <w:p w14:paraId="163C9AB7">
      <w:pPr>
        <w:spacing w:line="360" w:lineRule="auto"/>
        <w:ind w:firstLine="211" w:firstLineChars="100"/>
        <w:jc w:val="center"/>
        <w:rPr>
          <w:rFonts w:hint="eastAsia" w:ascii="宋体" w:hAnsi="宋体"/>
          <w:b/>
        </w:rPr>
      </w:pPr>
    </w:p>
    <w:p w14:paraId="4C3D93D9">
      <w:pPr>
        <w:spacing w:line="360" w:lineRule="auto"/>
        <w:ind w:firstLine="211" w:firstLineChars="100"/>
        <w:jc w:val="center"/>
        <w:rPr>
          <w:rFonts w:hint="eastAsia" w:ascii="宋体" w:hAnsi="宋体"/>
          <w:b/>
        </w:rPr>
      </w:pPr>
    </w:p>
    <w:p w14:paraId="3C37B940">
      <w:pPr>
        <w:spacing w:line="360" w:lineRule="auto"/>
        <w:ind w:firstLine="211" w:firstLineChars="100"/>
        <w:jc w:val="center"/>
        <w:rPr>
          <w:rFonts w:hint="eastAsia" w:ascii="宋体" w:hAnsi="宋体"/>
          <w:b/>
        </w:rPr>
      </w:pPr>
    </w:p>
    <w:p w14:paraId="5DE2C8D2">
      <w:pPr>
        <w:spacing w:line="360" w:lineRule="auto"/>
        <w:ind w:firstLine="211" w:firstLineChars="100"/>
        <w:jc w:val="center"/>
        <w:rPr>
          <w:rFonts w:hint="eastAsia" w:ascii="宋体" w:hAnsi="宋体"/>
          <w:b/>
        </w:rPr>
      </w:pPr>
    </w:p>
    <w:p w14:paraId="522C071F">
      <w:pPr>
        <w:spacing w:line="360" w:lineRule="auto"/>
        <w:ind w:firstLine="211" w:firstLineChars="100"/>
        <w:jc w:val="center"/>
        <w:rPr>
          <w:rFonts w:hint="eastAsia" w:ascii="宋体" w:hAnsi="宋体"/>
          <w:b/>
        </w:rPr>
      </w:pPr>
    </w:p>
    <w:p w14:paraId="5DB3C491">
      <w:pPr>
        <w:spacing w:line="360" w:lineRule="auto"/>
        <w:ind w:firstLine="211" w:firstLineChars="100"/>
        <w:jc w:val="center"/>
        <w:rPr>
          <w:rFonts w:hint="eastAsia" w:ascii="宋体" w:hAnsi="宋体"/>
          <w:b/>
        </w:rPr>
      </w:pPr>
    </w:p>
    <w:p w14:paraId="60853878">
      <w:pPr>
        <w:spacing w:line="360" w:lineRule="auto"/>
        <w:ind w:firstLine="211" w:firstLineChars="100"/>
        <w:jc w:val="center"/>
        <w:rPr>
          <w:rFonts w:hint="eastAsia" w:ascii="宋体" w:hAnsi="宋体"/>
          <w:b/>
        </w:rPr>
      </w:pPr>
    </w:p>
    <w:p w14:paraId="38F4A4D3">
      <w:pPr>
        <w:spacing w:line="360" w:lineRule="auto"/>
        <w:ind w:firstLine="211" w:firstLineChars="100"/>
        <w:jc w:val="center"/>
        <w:rPr>
          <w:rFonts w:hint="eastAsia" w:ascii="宋体" w:hAnsi="宋体"/>
          <w:b/>
        </w:rPr>
      </w:pPr>
    </w:p>
    <w:p w14:paraId="48A330C1">
      <w:pPr>
        <w:spacing w:line="360" w:lineRule="auto"/>
        <w:ind w:firstLine="211" w:firstLineChars="100"/>
        <w:jc w:val="center"/>
        <w:rPr>
          <w:rFonts w:hint="eastAsia" w:ascii="宋体" w:hAnsi="宋体"/>
          <w:b/>
        </w:rPr>
      </w:pPr>
    </w:p>
    <w:p w14:paraId="2E74253A">
      <w:pPr>
        <w:spacing w:line="360" w:lineRule="auto"/>
        <w:ind w:firstLine="211" w:firstLineChars="100"/>
        <w:jc w:val="center"/>
        <w:rPr>
          <w:rFonts w:hint="eastAsia" w:ascii="宋体" w:hAnsi="宋体"/>
          <w:b/>
        </w:rPr>
      </w:pPr>
    </w:p>
    <w:p w14:paraId="5D69DFE2">
      <w:pPr>
        <w:spacing w:line="560" w:lineRule="exact"/>
        <w:jc w:val="left"/>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pPr>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十一、项目总体实施方案</w:t>
      </w:r>
    </w:p>
    <w:p w14:paraId="074E455E">
      <w:pPr>
        <w:spacing w:line="360" w:lineRule="auto"/>
        <w:jc w:val="both"/>
        <w:rPr>
          <w:rFonts w:hint="eastAsia" w:ascii="宋体" w:hAnsi="宋体"/>
          <w:b/>
        </w:rPr>
      </w:pPr>
    </w:p>
    <w:p w14:paraId="70F43D1C">
      <w:pPr>
        <w:pStyle w:val="316"/>
        <w:spacing w:line="360" w:lineRule="auto"/>
        <w:ind w:firstLine="560"/>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仿宋_GBK"/>
          <w:color w:val="000000" w:themeColor="text1"/>
          <w:sz w:val="28"/>
          <w:szCs w:val="28"/>
          <w14:textFill>
            <w14:solidFill>
              <w14:schemeClr w14:val="tx1"/>
            </w14:solidFill>
          </w14:textFill>
        </w:rPr>
        <w:t>根据评分办法及采购需求相关内容，编制方案，格式自拟。</w:t>
      </w:r>
    </w:p>
    <w:p w14:paraId="24E23A74">
      <w:pPr>
        <w:spacing w:line="360" w:lineRule="auto"/>
        <w:ind w:firstLine="211" w:firstLineChars="100"/>
        <w:jc w:val="center"/>
        <w:rPr>
          <w:rFonts w:hint="eastAsia" w:ascii="宋体" w:hAnsi="宋体"/>
          <w:b/>
        </w:rPr>
      </w:pPr>
    </w:p>
    <w:p w14:paraId="1A5BBB47">
      <w:pPr>
        <w:spacing w:line="360" w:lineRule="auto"/>
        <w:ind w:firstLine="211" w:firstLineChars="100"/>
        <w:jc w:val="center"/>
        <w:rPr>
          <w:rFonts w:hint="eastAsia" w:ascii="宋体" w:hAnsi="宋体"/>
          <w:b/>
        </w:rPr>
      </w:pPr>
    </w:p>
    <w:p w14:paraId="0E8C3C5F">
      <w:pPr>
        <w:spacing w:line="360" w:lineRule="auto"/>
        <w:ind w:firstLine="211" w:firstLineChars="100"/>
        <w:jc w:val="center"/>
        <w:rPr>
          <w:rFonts w:hint="eastAsia" w:ascii="宋体" w:hAnsi="宋体"/>
          <w:b/>
        </w:rPr>
      </w:pPr>
    </w:p>
    <w:p w14:paraId="6056CB14">
      <w:pPr>
        <w:spacing w:line="360" w:lineRule="auto"/>
        <w:ind w:firstLine="211" w:firstLineChars="100"/>
        <w:jc w:val="center"/>
        <w:rPr>
          <w:rFonts w:hint="eastAsia" w:ascii="宋体" w:hAnsi="宋体"/>
          <w:b/>
        </w:rPr>
      </w:pPr>
    </w:p>
    <w:p w14:paraId="57404D83">
      <w:pPr>
        <w:spacing w:line="360" w:lineRule="auto"/>
        <w:ind w:firstLine="211" w:firstLineChars="100"/>
        <w:jc w:val="center"/>
        <w:rPr>
          <w:rFonts w:hint="eastAsia" w:ascii="宋体" w:hAnsi="宋体"/>
          <w:b/>
        </w:rPr>
      </w:pPr>
    </w:p>
    <w:p w14:paraId="0C507112">
      <w:pPr>
        <w:spacing w:line="360" w:lineRule="auto"/>
        <w:ind w:firstLine="211" w:firstLineChars="100"/>
        <w:jc w:val="center"/>
        <w:rPr>
          <w:rFonts w:hint="eastAsia" w:ascii="宋体" w:hAnsi="宋体"/>
          <w:b/>
        </w:rPr>
      </w:pPr>
    </w:p>
    <w:p w14:paraId="2848A871">
      <w:pPr>
        <w:spacing w:line="360" w:lineRule="auto"/>
        <w:ind w:firstLine="211" w:firstLineChars="100"/>
        <w:jc w:val="center"/>
        <w:rPr>
          <w:rFonts w:hint="eastAsia" w:ascii="宋体" w:hAnsi="宋体"/>
          <w:b/>
        </w:rPr>
      </w:pPr>
    </w:p>
    <w:p w14:paraId="1FE76D1E">
      <w:pPr>
        <w:spacing w:line="360" w:lineRule="auto"/>
        <w:ind w:firstLine="211" w:firstLineChars="100"/>
        <w:jc w:val="center"/>
        <w:rPr>
          <w:rFonts w:hint="eastAsia" w:ascii="宋体" w:hAnsi="宋体"/>
          <w:b/>
        </w:rPr>
      </w:pPr>
    </w:p>
    <w:p w14:paraId="2FB1C3B2">
      <w:pPr>
        <w:spacing w:line="360" w:lineRule="auto"/>
        <w:ind w:firstLine="211" w:firstLineChars="100"/>
        <w:jc w:val="center"/>
        <w:rPr>
          <w:rFonts w:hint="eastAsia" w:ascii="宋体" w:hAnsi="宋体"/>
          <w:b/>
        </w:rPr>
      </w:pPr>
    </w:p>
    <w:p w14:paraId="34C02328">
      <w:pPr>
        <w:spacing w:line="360" w:lineRule="auto"/>
        <w:ind w:firstLine="211" w:firstLineChars="100"/>
        <w:jc w:val="center"/>
        <w:rPr>
          <w:rFonts w:hint="eastAsia" w:ascii="宋体" w:hAnsi="宋体"/>
          <w:b/>
        </w:rPr>
      </w:pPr>
    </w:p>
    <w:p w14:paraId="28C740C7">
      <w:pPr>
        <w:spacing w:line="360" w:lineRule="auto"/>
        <w:ind w:firstLine="211" w:firstLineChars="100"/>
        <w:jc w:val="center"/>
        <w:rPr>
          <w:rFonts w:hint="eastAsia" w:ascii="宋体" w:hAnsi="宋体"/>
          <w:b/>
        </w:rPr>
      </w:pPr>
    </w:p>
    <w:p w14:paraId="30107D8C">
      <w:pPr>
        <w:spacing w:line="360" w:lineRule="auto"/>
        <w:ind w:firstLine="211" w:firstLineChars="100"/>
        <w:jc w:val="center"/>
        <w:rPr>
          <w:rFonts w:hint="eastAsia" w:ascii="宋体" w:hAnsi="宋体"/>
          <w:b/>
        </w:rPr>
      </w:pPr>
    </w:p>
    <w:p w14:paraId="146A3FAB">
      <w:pPr>
        <w:spacing w:line="360" w:lineRule="auto"/>
        <w:ind w:firstLine="211" w:firstLineChars="100"/>
        <w:jc w:val="center"/>
        <w:rPr>
          <w:rFonts w:hint="eastAsia" w:ascii="宋体" w:hAnsi="宋体"/>
          <w:b/>
        </w:rPr>
      </w:pPr>
    </w:p>
    <w:p w14:paraId="0DC70D13">
      <w:pPr>
        <w:spacing w:line="360" w:lineRule="auto"/>
        <w:ind w:firstLine="211" w:firstLineChars="100"/>
        <w:jc w:val="center"/>
        <w:rPr>
          <w:rFonts w:hint="eastAsia" w:ascii="宋体" w:hAnsi="宋体"/>
          <w:b/>
        </w:rPr>
      </w:pPr>
    </w:p>
    <w:p w14:paraId="717CC56A">
      <w:pPr>
        <w:spacing w:line="360" w:lineRule="auto"/>
        <w:ind w:firstLine="211" w:firstLineChars="100"/>
        <w:jc w:val="center"/>
        <w:rPr>
          <w:rFonts w:hint="eastAsia" w:ascii="宋体" w:hAnsi="宋体"/>
          <w:b/>
        </w:rPr>
      </w:pPr>
    </w:p>
    <w:p w14:paraId="3DE23703">
      <w:pPr>
        <w:spacing w:line="360" w:lineRule="auto"/>
        <w:ind w:firstLine="211" w:firstLineChars="100"/>
        <w:jc w:val="center"/>
        <w:rPr>
          <w:rFonts w:hint="eastAsia" w:ascii="宋体" w:hAnsi="宋体"/>
          <w:b/>
        </w:rPr>
      </w:pPr>
    </w:p>
    <w:p w14:paraId="2B6D57F7">
      <w:pPr>
        <w:spacing w:line="360" w:lineRule="auto"/>
        <w:ind w:firstLine="211" w:firstLineChars="100"/>
        <w:jc w:val="center"/>
        <w:rPr>
          <w:rFonts w:hint="eastAsia" w:ascii="宋体" w:hAnsi="宋体"/>
          <w:b/>
        </w:rPr>
      </w:pPr>
    </w:p>
    <w:p w14:paraId="22BABA9D">
      <w:pPr>
        <w:spacing w:line="360" w:lineRule="auto"/>
        <w:ind w:firstLine="211" w:firstLineChars="100"/>
        <w:jc w:val="center"/>
        <w:rPr>
          <w:rFonts w:hint="eastAsia" w:ascii="宋体" w:hAnsi="宋体"/>
          <w:b/>
        </w:rPr>
      </w:pPr>
    </w:p>
    <w:p w14:paraId="02466130">
      <w:pPr>
        <w:spacing w:line="360" w:lineRule="auto"/>
        <w:ind w:firstLine="211" w:firstLineChars="100"/>
        <w:jc w:val="center"/>
        <w:rPr>
          <w:rFonts w:hint="eastAsia" w:ascii="宋体" w:hAnsi="宋体"/>
          <w:b/>
        </w:rPr>
      </w:pPr>
    </w:p>
    <w:p w14:paraId="24AC9470">
      <w:pPr>
        <w:spacing w:line="360" w:lineRule="auto"/>
        <w:ind w:firstLine="211" w:firstLineChars="100"/>
        <w:jc w:val="center"/>
        <w:rPr>
          <w:rFonts w:hint="eastAsia" w:ascii="宋体" w:hAnsi="宋体"/>
          <w:b/>
        </w:rPr>
      </w:pPr>
    </w:p>
    <w:p w14:paraId="1FCE8FE5">
      <w:pPr>
        <w:spacing w:line="360" w:lineRule="auto"/>
        <w:ind w:firstLine="211" w:firstLineChars="100"/>
        <w:jc w:val="center"/>
        <w:rPr>
          <w:rFonts w:hint="eastAsia" w:ascii="宋体" w:hAnsi="宋体"/>
          <w:b/>
        </w:rPr>
      </w:pPr>
    </w:p>
    <w:p w14:paraId="443F665F">
      <w:pPr>
        <w:spacing w:line="360" w:lineRule="auto"/>
        <w:ind w:firstLine="211" w:firstLineChars="100"/>
        <w:jc w:val="center"/>
        <w:rPr>
          <w:rFonts w:hint="eastAsia" w:ascii="宋体" w:hAnsi="宋体"/>
          <w:b/>
        </w:rPr>
      </w:pPr>
    </w:p>
    <w:p w14:paraId="26F2F57E">
      <w:pPr>
        <w:spacing w:line="360" w:lineRule="auto"/>
        <w:ind w:firstLine="211" w:firstLineChars="100"/>
        <w:jc w:val="center"/>
        <w:rPr>
          <w:rFonts w:hint="eastAsia" w:ascii="宋体" w:hAnsi="宋体"/>
          <w:b/>
        </w:rPr>
      </w:pPr>
    </w:p>
    <w:p w14:paraId="5C766621">
      <w:pPr>
        <w:spacing w:line="360" w:lineRule="auto"/>
        <w:ind w:firstLine="211" w:firstLineChars="100"/>
        <w:jc w:val="center"/>
        <w:rPr>
          <w:rFonts w:hint="eastAsia" w:ascii="宋体" w:hAnsi="宋体"/>
          <w:b/>
        </w:rPr>
      </w:pPr>
    </w:p>
    <w:p w14:paraId="474D7DBD">
      <w:pPr>
        <w:spacing w:line="360" w:lineRule="auto"/>
        <w:ind w:firstLine="211" w:firstLineChars="100"/>
        <w:jc w:val="center"/>
        <w:rPr>
          <w:rFonts w:hint="eastAsia" w:ascii="宋体" w:hAnsi="宋体"/>
          <w:b/>
        </w:rPr>
      </w:pPr>
    </w:p>
    <w:p w14:paraId="41AA5E98">
      <w:pPr>
        <w:spacing w:line="360" w:lineRule="auto"/>
        <w:ind w:firstLine="211" w:firstLineChars="100"/>
        <w:jc w:val="center"/>
        <w:rPr>
          <w:rFonts w:hint="eastAsia" w:ascii="宋体" w:hAnsi="宋体"/>
          <w:b/>
        </w:rPr>
      </w:pPr>
    </w:p>
    <w:p w14:paraId="0FCCA665">
      <w:pPr>
        <w:spacing w:line="360" w:lineRule="auto"/>
        <w:ind w:firstLine="211" w:firstLineChars="100"/>
        <w:jc w:val="center"/>
        <w:rPr>
          <w:rFonts w:hint="eastAsia" w:ascii="宋体" w:hAnsi="宋体"/>
          <w:b/>
        </w:rPr>
      </w:pPr>
    </w:p>
    <w:p w14:paraId="036C432E">
      <w:pPr>
        <w:spacing w:line="360" w:lineRule="auto"/>
        <w:ind w:firstLine="211" w:firstLineChars="100"/>
        <w:jc w:val="center"/>
        <w:rPr>
          <w:rFonts w:hint="eastAsia" w:ascii="宋体" w:hAnsi="宋体"/>
          <w:b/>
        </w:rPr>
      </w:pPr>
    </w:p>
    <w:p w14:paraId="03B593FF">
      <w:pPr>
        <w:pStyle w:val="315"/>
        <w:keepNext w:val="0"/>
        <w:keepLines w:val="0"/>
        <w:pageBreakBefore w:val="0"/>
        <w:kinsoku/>
        <w:wordWrap/>
        <w:overflowPunct/>
        <w:topLinePunct w:val="0"/>
        <w:autoSpaceDE/>
        <w:autoSpaceDN/>
        <w:bidi w:val="0"/>
        <w:adjustRightInd/>
        <w:snapToGrid/>
        <w:spacing w:line="400" w:lineRule="exact"/>
        <w:textAlignment w:val="auto"/>
        <w:outlineLvl w:val="1"/>
        <w:rPr>
          <w:rFonts w:ascii="Times New Roman" w:hAnsi="Times New Roman" w:eastAsia="方正黑体_GBK" w:cs="Times New Roman"/>
          <w:color w:val="000000" w:themeColor="text1"/>
          <w14:textFill>
            <w14:solidFill>
              <w14:schemeClr w14:val="tx1"/>
            </w14:solidFill>
          </w14:textFill>
        </w:rPr>
      </w:pPr>
      <w:bookmarkStart w:id="233" w:name="_Toc28140"/>
      <w:r>
        <w:rPr>
          <w:rFonts w:hint="eastAsia" w:ascii="方正黑体_GBK" w:hAnsi="方正黑体_GBK" w:eastAsia="方正黑体_GBK" w:cs="方正黑体_GBK"/>
          <w:b/>
          <w:bCs/>
          <w:color w:val="000000" w:themeColor="text1"/>
          <w:sz w:val="30"/>
          <w:szCs w:val="30"/>
          <w:lang w:val="en-US" w:eastAsia="zh-CN" w:bidi="ar-SA"/>
          <w14:textFill>
            <w14:solidFill>
              <w14:schemeClr w14:val="tx1"/>
            </w14:solidFill>
          </w14:textFill>
        </w:rPr>
        <w:t>十二、投标所需其他材料</w:t>
      </w:r>
      <w:bookmarkEnd w:id="233"/>
    </w:p>
    <w:p w14:paraId="02779649">
      <w:pPr>
        <w:pStyle w:val="316"/>
        <w:spacing w:line="360" w:lineRule="auto"/>
        <w:ind w:firstLine="560"/>
        <w:rPr>
          <w:rFonts w:ascii="Times New Roman" w:hAnsi="Times New Roman" w:eastAsia="方正仿宋_GBK"/>
          <w:color w:val="000000" w:themeColor="text1"/>
          <w:sz w:val="28"/>
          <w:szCs w:val="28"/>
          <w14:textFill>
            <w14:solidFill>
              <w14:schemeClr w14:val="tx1"/>
            </w14:solidFill>
          </w14:textFill>
        </w:rPr>
      </w:pPr>
    </w:p>
    <w:p w14:paraId="2768744F">
      <w:pPr>
        <w:pStyle w:val="316"/>
        <w:spacing w:line="360" w:lineRule="auto"/>
        <w:ind w:firstLine="560"/>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请在此文档中增加投标所需其他相关内容（包括资格要求、评分办法、采购需求中涉及的证件证明及其它投标人认为有必要提供的资料），如没有请将此空文档上传。</w:t>
      </w:r>
    </w:p>
    <w:p w14:paraId="3C1261E0">
      <w:pPr>
        <w:rPr>
          <w:rFonts w:eastAsia="方正仿宋_GBK"/>
          <w:color w:val="000000" w:themeColor="text1"/>
          <w:sz w:val="20"/>
          <w:highlight w:val="white"/>
          <w14:textFill>
            <w14:solidFill>
              <w14:schemeClr w14:val="tx1"/>
            </w14:solidFill>
          </w14:textFill>
        </w:rPr>
      </w:pPr>
    </w:p>
    <w:p w14:paraId="10B27C4E">
      <w:pPr>
        <w:rPr>
          <w:rFonts w:eastAsia="方正仿宋_GBK"/>
          <w:color w:val="000000" w:themeColor="text1"/>
          <w14:textFill>
            <w14:solidFill>
              <w14:schemeClr w14:val="tx1"/>
            </w14:solidFill>
          </w14:textFill>
        </w:rPr>
      </w:pPr>
    </w:p>
    <w:p w14:paraId="4F8818CF">
      <w:pPr>
        <w:rPr>
          <w:rFonts w:eastAsia="方正黑体_GBK"/>
          <w:color w:val="000000" w:themeColor="text1"/>
          <w:sz w:val="32"/>
          <w14:textFill>
            <w14:solidFill>
              <w14:schemeClr w14:val="tx1"/>
            </w14:solidFill>
          </w14:textFill>
        </w:rPr>
      </w:pPr>
    </w:p>
    <w:p w14:paraId="30759976">
      <w:pPr>
        <w:rPr>
          <w:rFonts w:eastAsia="方正黑体_GBK"/>
          <w:color w:val="000000" w:themeColor="text1"/>
          <w:sz w:val="32"/>
          <w14:textFill>
            <w14:solidFill>
              <w14:schemeClr w14:val="tx1"/>
            </w14:solidFill>
          </w14:textFill>
        </w:rPr>
      </w:pPr>
    </w:p>
    <w:p w14:paraId="11904AC3">
      <w:pPr>
        <w:rPr>
          <w:rFonts w:eastAsia="方正黑体_GBK"/>
          <w:color w:val="000000" w:themeColor="text1"/>
          <w:sz w:val="32"/>
          <w14:textFill>
            <w14:solidFill>
              <w14:schemeClr w14:val="tx1"/>
            </w14:solidFill>
          </w14:textFill>
        </w:rPr>
      </w:pPr>
    </w:p>
    <w:p w14:paraId="4C70EBF8">
      <w:pPr>
        <w:rPr>
          <w:rFonts w:eastAsia="方正黑体_GBK"/>
          <w:color w:val="000000" w:themeColor="text1"/>
          <w:sz w:val="32"/>
          <w14:textFill>
            <w14:solidFill>
              <w14:schemeClr w14:val="tx1"/>
            </w14:solidFill>
          </w14:textFill>
        </w:rPr>
      </w:pPr>
    </w:p>
    <w:bookmarkEnd w:id="228"/>
    <w:p w14:paraId="35F17920">
      <w:pPr>
        <w:spacing w:line="480" w:lineRule="auto"/>
        <w:rPr>
          <w:rFonts w:eastAsia="方正仿宋_GBK"/>
          <w:color w:val="000000" w:themeColor="text1"/>
          <w:sz w:val="24"/>
          <w14:textFill>
            <w14:solidFill>
              <w14:schemeClr w14:val="tx1"/>
            </w14:solidFill>
          </w14:textFill>
        </w:rPr>
      </w:pPr>
    </w:p>
    <w:p w14:paraId="1F6DDAC7">
      <w:pPr>
        <w:spacing w:line="480" w:lineRule="auto"/>
        <w:rPr>
          <w:rFonts w:eastAsia="方正仿宋_GBK"/>
          <w:color w:val="000000" w:themeColor="text1"/>
          <w:sz w:val="30"/>
          <w14:textFill>
            <w14:solidFill>
              <w14:schemeClr w14:val="tx1"/>
            </w14:solidFill>
          </w14:textFill>
        </w:rPr>
      </w:pPr>
    </w:p>
    <w:p w14:paraId="11E18053">
      <w:pPr>
        <w:pStyle w:val="190"/>
        <w:ind w:firstLine="0"/>
        <w:rPr>
          <w:rFonts w:eastAsia="方正仿宋_GBK"/>
          <w:color w:val="000000" w:themeColor="text1"/>
          <w:sz w:val="24"/>
          <w14:textFill>
            <w14:solidFill>
              <w14:schemeClr w14:val="tx1"/>
            </w14:solidFill>
          </w14:textFill>
        </w:rPr>
      </w:pPr>
      <w:bookmarkStart w:id="234" w:name="_Hlt26955066"/>
      <w:bookmarkEnd w:id="234"/>
      <w:bookmarkStart w:id="235" w:name="_Hlt26609389"/>
      <w:bookmarkEnd w:id="235"/>
      <w:bookmarkStart w:id="236" w:name="_Hlt26671374"/>
      <w:bookmarkEnd w:id="236"/>
      <w:bookmarkStart w:id="237" w:name="_Toc462564146"/>
    </w:p>
    <w:p w14:paraId="3DB4AB56">
      <w:pPr>
        <w:rPr>
          <w:rFonts w:eastAsia="方正仿宋_GBK"/>
          <w:color w:val="000000" w:themeColor="text1"/>
          <w:sz w:val="24"/>
          <w14:textFill>
            <w14:solidFill>
              <w14:schemeClr w14:val="tx1"/>
            </w14:solidFill>
          </w14:textFill>
        </w:rPr>
      </w:pPr>
    </w:p>
    <w:p w14:paraId="013E4C36">
      <w:pPr>
        <w:pStyle w:val="263"/>
        <w:rPr>
          <w:rFonts w:ascii="Times New Roman" w:hAnsi="Times New Roman" w:eastAsia="方正仿宋_GBK" w:cs="Times New Roman"/>
          <w:color w:val="000000" w:themeColor="text1"/>
          <w:sz w:val="24"/>
          <w14:textFill>
            <w14:solidFill>
              <w14:schemeClr w14:val="tx1"/>
            </w14:solidFill>
          </w14:textFill>
        </w:rPr>
      </w:pPr>
    </w:p>
    <w:p w14:paraId="0815437C">
      <w:pPr>
        <w:pStyle w:val="263"/>
        <w:rPr>
          <w:rFonts w:ascii="Times New Roman" w:hAnsi="Times New Roman" w:eastAsia="方正仿宋_GBK" w:cs="Times New Roman"/>
          <w:color w:val="000000" w:themeColor="text1"/>
          <w:sz w:val="24"/>
          <w14:textFill>
            <w14:solidFill>
              <w14:schemeClr w14:val="tx1"/>
            </w14:solidFill>
          </w14:textFill>
        </w:rPr>
      </w:pPr>
    </w:p>
    <w:p w14:paraId="419C4BB0">
      <w:pPr>
        <w:pStyle w:val="263"/>
        <w:rPr>
          <w:rFonts w:ascii="Times New Roman" w:hAnsi="Times New Roman" w:eastAsia="方正仿宋_GBK" w:cs="Times New Roman"/>
          <w:color w:val="000000" w:themeColor="text1"/>
          <w:sz w:val="24"/>
          <w14:textFill>
            <w14:solidFill>
              <w14:schemeClr w14:val="tx1"/>
            </w14:solidFill>
          </w14:textFill>
        </w:rPr>
      </w:pPr>
    </w:p>
    <w:p w14:paraId="778EDD3B">
      <w:pPr>
        <w:pStyle w:val="263"/>
        <w:rPr>
          <w:rFonts w:ascii="Times New Roman" w:hAnsi="Times New Roman" w:eastAsia="方正仿宋_GBK" w:cs="Times New Roman"/>
          <w:color w:val="000000" w:themeColor="text1"/>
          <w:sz w:val="24"/>
          <w14:textFill>
            <w14:solidFill>
              <w14:schemeClr w14:val="tx1"/>
            </w14:solidFill>
          </w14:textFill>
        </w:rPr>
      </w:pPr>
    </w:p>
    <w:p w14:paraId="6C778DD6">
      <w:pPr>
        <w:pStyle w:val="263"/>
        <w:rPr>
          <w:rFonts w:ascii="Times New Roman" w:hAnsi="Times New Roman" w:eastAsia="方正仿宋_GBK" w:cs="Times New Roman"/>
          <w:color w:val="000000" w:themeColor="text1"/>
          <w:sz w:val="24"/>
          <w14:textFill>
            <w14:solidFill>
              <w14:schemeClr w14:val="tx1"/>
            </w14:solidFill>
          </w14:textFill>
        </w:rPr>
      </w:pPr>
    </w:p>
    <w:p w14:paraId="7F78E3B5">
      <w:pPr>
        <w:pStyle w:val="263"/>
        <w:rPr>
          <w:rFonts w:ascii="Times New Roman" w:hAnsi="Times New Roman" w:eastAsia="方正仿宋_GBK" w:cs="Times New Roman"/>
          <w:color w:val="000000" w:themeColor="text1"/>
          <w:sz w:val="24"/>
          <w14:textFill>
            <w14:solidFill>
              <w14:schemeClr w14:val="tx1"/>
            </w14:solidFill>
          </w14:textFill>
        </w:rPr>
      </w:pPr>
    </w:p>
    <w:bookmarkEnd w:id="206"/>
    <w:bookmarkEnd w:id="207"/>
    <w:bookmarkEnd w:id="237"/>
    <w:p w14:paraId="25E51A1F">
      <w:pPr>
        <w:pStyle w:val="190"/>
        <w:ind w:left="0" w:leftChars="0" w:firstLine="0" w:firstLineChars="0"/>
        <w:rPr>
          <w:rFonts w:eastAsia="方正仿宋_GBK"/>
          <w:color w:val="000000" w:themeColor="text1"/>
          <w:sz w:val="24"/>
          <w:szCs w:val="24"/>
          <w14:textFill>
            <w14:solidFill>
              <w14:schemeClr w14:val="tx1"/>
            </w14:solidFill>
          </w14:textFill>
        </w:rPr>
      </w:pPr>
      <w:bookmarkStart w:id="238" w:name="_格式2__法定代表人授权书"/>
      <w:bookmarkEnd w:id="238"/>
    </w:p>
    <w:sectPr>
      <w:footerReference r:id="rId9" w:type="default"/>
      <w:pgSz w:w="11906" w:h="16838"/>
      <w:pgMar w:top="1701" w:right="1531" w:bottom="1701" w:left="1531" w:header="851" w:footer="907" w:gutter="0"/>
      <w:pgNumType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8C7B">
    <w:pPr>
      <w:pStyle w:val="23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C0E2">
    <w:pPr>
      <w:pStyle w:val="234"/>
      <w:framePr w:wrap="around" w:vAnchor="text" w:hAnchor="margin" w:xAlign="center" w:y="1"/>
      <w:rPr>
        <w:rStyle w:val="259"/>
      </w:rPr>
    </w:pPr>
    <w:r>
      <w:fldChar w:fldCharType="begin"/>
    </w:r>
    <w:r>
      <w:rPr>
        <w:rStyle w:val="259"/>
      </w:rPr>
      <w:instrText xml:space="preserve">PAGE  </w:instrText>
    </w:r>
    <w:r>
      <w:fldChar w:fldCharType="separate"/>
    </w:r>
    <w:r>
      <w:rPr>
        <w:rStyle w:val="259"/>
      </w:rPr>
      <w:t>1</w:t>
    </w:r>
    <w:r>
      <w:fldChar w:fldCharType="end"/>
    </w:r>
  </w:p>
  <w:p w14:paraId="3CB5419E">
    <w:pPr>
      <w:pStyle w:val="2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9D22">
    <w:pPr>
      <w:pStyle w:val="19"/>
      <w:rPr>
        <w:rFonts w:eastAsia="方正仿宋_GBK"/>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EE87D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EE87D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F10F">
    <w:pPr>
      <w:pStyle w:val="234"/>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37BF">
    <w:pPr>
      <w:pStyle w:val="234"/>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CD2465">
                          <w:pPr>
                            <w:pStyle w:val="234"/>
                            <w:rPr>
                              <w:rStyle w:val="259"/>
                              <w:sz w:val="28"/>
                              <w:szCs w:val="28"/>
                            </w:rPr>
                          </w:pPr>
                          <w:r>
                            <w:rPr>
                              <w:rStyle w:val="259"/>
                              <w:sz w:val="28"/>
                              <w:szCs w:val="28"/>
                            </w:rPr>
                            <w:t xml:space="preserve">— </w:t>
                          </w:r>
                          <w:r>
                            <w:rPr>
                              <w:rStyle w:val="259"/>
                              <w:sz w:val="28"/>
                              <w:szCs w:val="28"/>
                            </w:rPr>
                            <w:fldChar w:fldCharType="begin"/>
                          </w:r>
                          <w:r>
                            <w:rPr>
                              <w:rStyle w:val="259"/>
                              <w:sz w:val="28"/>
                              <w:szCs w:val="28"/>
                            </w:rPr>
                            <w:instrText xml:space="preserve"> PAGE  \* MERGEFORMAT </w:instrText>
                          </w:r>
                          <w:r>
                            <w:rPr>
                              <w:rStyle w:val="259"/>
                              <w:sz w:val="28"/>
                              <w:szCs w:val="28"/>
                            </w:rPr>
                            <w:fldChar w:fldCharType="separate"/>
                          </w:r>
                          <w:r>
                            <w:rPr>
                              <w:rStyle w:val="259"/>
                              <w:sz w:val="28"/>
                              <w:szCs w:val="28"/>
                            </w:rPr>
                            <w:t>24</w:t>
                          </w:r>
                          <w:r>
                            <w:rPr>
                              <w:rStyle w:val="259"/>
                              <w:sz w:val="28"/>
                              <w:szCs w:val="28"/>
                            </w:rPr>
                            <w:fldChar w:fldCharType="end"/>
                          </w:r>
                          <w:r>
                            <w:rPr>
                              <w:rStyle w:val="259"/>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4CD2465">
                    <w:pPr>
                      <w:pStyle w:val="234"/>
                      <w:rPr>
                        <w:rStyle w:val="259"/>
                        <w:sz w:val="28"/>
                        <w:szCs w:val="28"/>
                      </w:rPr>
                    </w:pPr>
                    <w:r>
                      <w:rPr>
                        <w:rStyle w:val="259"/>
                        <w:sz w:val="28"/>
                        <w:szCs w:val="28"/>
                      </w:rPr>
                      <w:t xml:space="preserve">— </w:t>
                    </w:r>
                    <w:r>
                      <w:rPr>
                        <w:rStyle w:val="259"/>
                        <w:sz w:val="28"/>
                        <w:szCs w:val="28"/>
                      </w:rPr>
                      <w:fldChar w:fldCharType="begin"/>
                    </w:r>
                    <w:r>
                      <w:rPr>
                        <w:rStyle w:val="259"/>
                        <w:sz w:val="28"/>
                        <w:szCs w:val="28"/>
                      </w:rPr>
                      <w:instrText xml:space="preserve"> PAGE  \* MERGEFORMAT </w:instrText>
                    </w:r>
                    <w:r>
                      <w:rPr>
                        <w:rStyle w:val="259"/>
                        <w:sz w:val="28"/>
                        <w:szCs w:val="28"/>
                      </w:rPr>
                      <w:fldChar w:fldCharType="separate"/>
                    </w:r>
                    <w:r>
                      <w:rPr>
                        <w:rStyle w:val="259"/>
                        <w:sz w:val="28"/>
                        <w:szCs w:val="28"/>
                      </w:rPr>
                      <w:t>24</w:t>
                    </w:r>
                    <w:r>
                      <w:rPr>
                        <w:rStyle w:val="259"/>
                        <w:sz w:val="28"/>
                        <w:szCs w:val="28"/>
                      </w:rPr>
                      <w:fldChar w:fldCharType="end"/>
                    </w:r>
                    <w:r>
                      <w:rPr>
                        <w:rStyle w:val="259"/>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EC0D">
    <w:pPr>
      <w:pStyle w:val="236"/>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6808">
    <w:pPr>
      <w:pStyle w:val="20"/>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2981"/>
    <w:multiLevelType w:val="multilevel"/>
    <w:tmpl w:val="8D2A2981"/>
    <w:lvl w:ilvl="0" w:tentative="0">
      <w:start w:val="1"/>
      <w:numFmt w:val="decimal"/>
      <w:pStyle w:val="28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92F5BD8C"/>
    <w:multiLevelType w:val="multilevel"/>
    <w:tmpl w:val="92F5BD8C"/>
    <w:lvl w:ilvl="0" w:tentative="0">
      <w:start w:val="1"/>
      <w:numFmt w:val="upperLetter"/>
      <w:pStyle w:val="278"/>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203B501"/>
    <w:multiLevelType w:val="multilevel"/>
    <w:tmpl w:val="B203B501"/>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3"/>
      <w:suff w:val="nothing"/>
      <w:lvlText w:val=""/>
      <w:lvlJc w:val="left"/>
      <w:pPr>
        <w:ind w:left="0" w:firstLine="0"/>
      </w:pPr>
      <w:rPr>
        <w:rFonts w:hint="eastAsia"/>
      </w:rPr>
    </w:lvl>
    <w:lvl w:ilvl="6" w:tentative="0">
      <w:start w:val="1"/>
      <w:numFmt w:val="decimal"/>
      <w:pStyle w:val="194"/>
      <w:suff w:val="nothing"/>
      <w:lvlText w:val=""/>
      <w:lvlJc w:val="left"/>
      <w:pPr>
        <w:ind w:left="0" w:firstLine="0"/>
      </w:pPr>
      <w:rPr>
        <w:rFonts w:hint="eastAsia"/>
      </w:rPr>
    </w:lvl>
    <w:lvl w:ilvl="7" w:tentative="0">
      <w:start w:val="1"/>
      <w:numFmt w:val="decimal"/>
      <w:pStyle w:val="195"/>
      <w:suff w:val="nothing"/>
      <w:lvlText w:val=""/>
      <w:lvlJc w:val="left"/>
      <w:pPr>
        <w:ind w:left="0" w:firstLine="0"/>
      </w:pPr>
      <w:rPr>
        <w:rFonts w:hint="eastAsia"/>
      </w:rPr>
    </w:lvl>
    <w:lvl w:ilvl="8" w:tentative="0">
      <w:start w:val="1"/>
      <w:numFmt w:val="decimal"/>
      <w:pStyle w:val="196"/>
      <w:suff w:val="nothing"/>
      <w:lvlText w:val=""/>
      <w:lvlJc w:val="left"/>
      <w:pPr>
        <w:ind w:left="0" w:firstLine="0"/>
      </w:pPr>
      <w:rPr>
        <w:rFonts w:hint="eastAsia"/>
      </w:rPr>
    </w:lvl>
  </w:abstractNum>
  <w:abstractNum w:abstractNumId="3">
    <w:nsid w:val="EBC8BABA"/>
    <w:multiLevelType w:val="singleLevel"/>
    <w:tmpl w:val="EBC8BABA"/>
    <w:lvl w:ilvl="0" w:tentative="0">
      <w:start w:val="4"/>
      <w:numFmt w:val="chineseCounting"/>
      <w:suff w:val="nothing"/>
      <w:lvlText w:val="%1、"/>
      <w:lvlJc w:val="left"/>
      <w:rPr>
        <w:rFonts w:hint="eastAsia"/>
      </w:rPr>
    </w:lvl>
  </w:abstractNum>
  <w:abstractNum w:abstractNumId="4">
    <w:nsid w:val="0A1841D1"/>
    <w:multiLevelType w:val="singleLevel"/>
    <w:tmpl w:val="0A1841D1"/>
    <w:lvl w:ilvl="0" w:tentative="0">
      <w:start w:val="1"/>
      <w:numFmt w:val="decimal"/>
      <w:suff w:val="nothing"/>
      <w:lvlText w:val="%1、"/>
      <w:lvlJc w:val="left"/>
    </w:lvl>
  </w:abstractNum>
  <w:abstractNum w:abstractNumId="5">
    <w:nsid w:val="0FE7ADCE"/>
    <w:multiLevelType w:val="singleLevel"/>
    <w:tmpl w:val="0FE7ADCE"/>
    <w:lvl w:ilvl="0" w:tentative="0">
      <w:start w:val="1"/>
      <w:numFmt w:val="decimal"/>
      <w:suff w:val="nothing"/>
      <w:lvlText w:val="%1、"/>
      <w:lvlJc w:val="left"/>
    </w:lvl>
  </w:abstractNum>
  <w:abstractNum w:abstractNumId="6">
    <w:nsid w:val="5999184F"/>
    <w:multiLevelType w:val="multilevel"/>
    <w:tmpl w:val="5999184F"/>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5DAD7CF3"/>
    <w:multiLevelType w:val="singleLevel"/>
    <w:tmpl w:val="5DAD7CF3"/>
    <w:lvl w:ilvl="0" w:tentative="0">
      <w:start w:val="1"/>
      <w:numFmt w:val="decimal"/>
      <w:suff w:val="nothing"/>
      <w:lvlText w:val="%1、"/>
      <w:lvlJc w:val="left"/>
    </w:lvl>
  </w:abstractNum>
  <w:abstractNum w:abstractNumId="8">
    <w:nsid w:val="6C53B057"/>
    <w:multiLevelType w:val="singleLevel"/>
    <w:tmpl w:val="6C53B057"/>
    <w:lvl w:ilvl="0" w:tentative="0">
      <w:start w:val="1"/>
      <w:numFmt w:val="decimal"/>
      <w:suff w:val="nothing"/>
      <w:lvlText w:val="%1、"/>
      <w:lvlJc w:val="left"/>
    </w:lvl>
  </w:abstractNum>
  <w:abstractNum w:abstractNumId="9">
    <w:nsid w:val="6D32C479"/>
    <w:multiLevelType w:val="multilevel"/>
    <w:tmpl w:val="6D32C479"/>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 w:numId="4">
    <w:abstractNumId w:val="9"/>
  </w:num>
  <w:num w:numId="5">
    <w:abstractNumId w:val="3"/>
  </w:num>
  <w:num w:numId="6">
    <w:abstractNumId w:val="8"/>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Dc5Yjg1ZWU4OTg3M2Y2MTNiNDcxYzk0ZTQ2ODYifQ=="/>
  </w:docVars>
  <w:rsids>
    <w:rsidRoot w:val="00B9154C"/>
    <w:rsid w:val="00044CA4"/>
    <w:rsid w:val="001173C3"/>
    <w:rsid w:val="00133893"/>
    <w:rsid w:val="001340AA"/>
    <w:rsid w:val="001848D6"/>
    <w:rsid w:val="00277886"/>
    <w:rsid w:val="002937F3"/>
    <w:rsid w:val="002A41B0"/>
    <w:rsid w:val="002C481A"/>
    <w:rsid w:val="003A325F"/>
    <w:rsid w:val="00524FC6"/>
    <w:rsid w:val="00554150"/>
    <w:rsid w:val="005B3797"/>
    <w:rsid w:val="00607FBA"/>
    <w:rsid w:val="006F5B4F"/>
    <w:rsid w:val="0074196C"/>
    <w:rsid w:val="007F2D94"/>
    <w:rsid w:val="007F4236"/>
    <w:rsid w:val="008277CF"/>
    <w:rsid w:val="00B36890"/>
    <w:rsid w:val="00B9154C"/>
    <w:rsid w:val="00C71837"/>
    <w:rsid w:val="00D62623"/>
    <w:rsid w:val="00D70859"/>
    <w:rsid w:val="00DE7671"/>
    <w:rsid w:val="018E294F"/>
    <w:rsid w:val="01FB0577"/>
    <w:rsid w:val="022E26FA"/>
    <w:rsid w:val="02AF5799"/>
    <w:rsid w:val="02EA6F61"/>
    <w:rsid w:val="039D18E6"/>
    <w:rsid w:val="04253689"/>
    <w:rsid w:val="04293179"/>
    <w:rsid w:val="04CE1F73"/>
    <w:rsid w:val="05004C30"/>
    <w:rsid w:val="050E1B6F"/>
    <w:rsid w:val="052D4EEB"/>
    <w:rsid w:val="063D053D"/>
    <w:rsid w:val="06433DED"/>
    <w:rsid w:val="067E66B9"/>
    <w:rsid w:val="069F16D9"/>
    <w:rsid w:val="06CD7A98"/>
    <w:rsid w:val="06CF532E"/>
    <w:rsid w:val="070A2C31"/>
    <w:rsid w:val="07547DCE"/>
    <w:rsid w:val="075D1364"/>
    <w:rsid w:val="07E170FA"/>
    <w:rsid w:val="080C2B15"/>
    <w:rsid w:val="08424B92"/>
    <w:rsid w:val="08D15660"/>
    <w:rsid w:val="08EF6757"/>
    <w:rsid w:val="09101ACB"/>
    <w:rsid w:val="09220F15"/>
    <w:rsid w:val="0A25674A"/>
    <w:rsid w:val="0A7326C6"/>
    <w:rsid w:val="0B3B3065"/>
    <w:rsid w:val="0BC646C3"/>
    <w:rsid w:val="0C992E66"/>
    <w:rsid w:val="0CC9374C"/>
    <w:rsid w:val="0D2070E4"/>
    <w:rsid w:val="0D705975"/>
    <w:rsid w:val="0D710CA8"/>
    <w:rsid w:val="0D961154"/>
    <w:rsid w:val="0E303356"/>
    <w:rsid w:val="0E377A2F"/>
    <w:rsid w:val="0ECA4DFF"/>
    <w:rsid w:val="0ED85EC8"/>
    <w:rsid w:val="0F274759"/>
    <w:rsid w:val="11496C09"/>
    <w:rsid w:val="11527EFA"/>
    <w:rsid w:val="118F65E6"/>
    <w:rsid w:val="123A47A4"/>
    <w:rsid w:val="133E02C4"/>
    <w:rsid w:val="13557B56"/>
    <w:rsid w:val="140D5BF4"/>
    <w:rsid w:val="142E0338"/>
    <w:rsid w:val="155618F4"/>
    <w:rsid w:val="15581B10"/>
    <w:rsid w:val="15604521"/>
    <w:rsid w:val="156674F2"/>
    <w:rsid w:val="15787ABD"/>
    <w:rsid w:val="16130587"/>
    <w:rsid w:val="16636BAC"/>
    <w:rsid w:val="16A50D85"/>
    <w:rsid w:val="17576522"/>
    <w:rsid w:val="17E256C1"/>
    <w:rsid w:val="17EB6C6C"/>
    <w:rsid w:val="17EE050A"/>
    <w:rsid w:val="180D7837"/>
    <w:rsid w:val="186D20D8"/>
    <w:rsid w:val="18783E6A"/>
    <w:rsid w:val="18887292"/>
    <w:rsid w:val="18B138E0"/>
    <w:rsid w:val="194A5C14"/>
    <w:rsid w:val="1A8C5DB8"/>
    <w:rsid w:val="1AD1624B"/>
    <w:rsid w:val="1B6F0B84"/>
    <w:rsid w:val="1B78333C"/>
    <w:rsid w:val="1BAC6712"/>
    <w:rsid w:val="1BCA64B0"/>
    <w:rsid w:val="1C3E30E2"/>
    <w:rsid w:val="1C9A5DB1"/>
    <w:rsid w:val="1CAC3E08"/>
    <w:rsid w:val="1D103CB8"/>
    <w:rsid w:val="1D297C66"/>
    <w:rsid w:val="1D8D3444"/>
    <w:rsid w:val="1D994A74"/>
    <w:rsid w:val="1D9D7C95"/>
    <w:rsid w:val="1DF30D1F"/>
    <w:rsid w:val="1E250DE6"/>
    <w:rsid w:val="1E285DF8"/>
    <w:rsid w:val="1E4E1D03"/>
    <w:rsid w:val="1E682698"/>
    <w:rsid w:val="1EE6018D"/>
    <w:rsid w:val="1EFC297D"/>
    <w:rsid w:val="1F152820"/>
    <w:rsid w:val="1F737902"/>
    <w:rsid w:val="1F7E6617"/>
    <w:rsid w:val="1F8B605E"/>
    <w:rsid w:val="1FA140B4"/>
    <w:rsid w:val="1FAD4807"/>
    <w:rsid w:val="1FD76DC1"/>
    <w:rsid w:val="205E01F7"/>
    <w:rsid w:val="205E3553"/>
    <w:rsid w:val="208A0FEC"/>
    <w:rsid w:val="21030E9F"/>
    <w:rsid w:val="215203D4"/>
    <w:rsid w:val="21555156"/>
    <w:rsid w:val="23290648"/>
    <w:rsid w:val="234F05E1"/>
    <w:rsid w:val="23706277"/>
    <w:rsid w:val="24C743DE"/>
    <w:rsid w:val="260857DC"/>
    <w:rsid w:val="283C7070"/>
    <w:rsid w:val="2858552C"/>
    <w:rsid w:val="28992885"/>
    <w:rsid w:val="29B266BD"/>
    <w:rsid w:val="29E51041"/>
    <w:rsid w:val="2A407548"/>
    <w:rsid w:val="2A495A74"/>
    <w:rsid w:val="2A9A6739"/>
    <w:rsid w:val="2ACE4D86"/>
    <w:rsid w:val="2AEA30C4"/>
    <w:rsid w:val="2B12230A"/>
    <w:rsid w:val="2B187CBC"/>
    <w:rsid w:val="2B2142FB"/>
    <w:rsid w:val="2B367DA6"/>
    <w:rsid w:val="2B524FD6"/>
    <w:rsid w:val="2B767032"/>
    <w:rsid w:val="2B797C93"/>
    <w:rsid w:val="2B844FB6"/>
    <w:rsid w:val="2BB512FE"/>
    <w:rsid w:val="2C8417A1"/>
    <w:rsid w:val="2C92725E"/>
    <w:rsid w:val="2CC674D1"/>
    <w:rsid w:val="2D2E0394"/>
    <w:rsid w:val="2D922A8E"/>
    <w:rsid w:val="2DCE620F"/>
    <w:rsid w:val="2EC43CB5"/>
    <w:rsid w:val="2ECB3CF2"/>
    <w:rsid w:val="2F000DF7"/>
    <w:rsid w:val="2F5702EB"/>
    <w:rsid w:val="2FB27C17"/>
    <w:rsid w:val="2FE85D14"/>
    <w:rsid w:val="3021122B"/>
    <w:rsid w:val="304A708A"/>
    <w:rsid w:val="30B5176D"/>
    <w:rsid w:val="30CE3CA7"/>
    <w:rsid w:val="30D14C7E"/>
    <w:rsid w:val="30F027A5"/>
    <w:rsid w:val="32B23D95"/>
    <w:rsid w:val="32B24F2E"/>
    <w:rsid w:val="33941B0E"/>
    <w:rsid w:val="33EA461D"/>
    <w:rsid w:val="34237336"/>
    <w:rsid w:val="34C1213A"/>
    <w:rsid w:val="3509652C"/>
    <w:rsid w:val="350C33CB"/>
    <w:rsid w:val="3569521C"/>
    <w:rsid w:val="35D905E4"/>
    <w:rsid w:val="362D5E70"/>
    <w:rsid w:val="366B6FEB"/>
    <w:rsid w:val="36CC43F5"/>
    <w:rsid w:val="36F6488E"/>
    <w:rsid w:val="36F9592C"/>
    <w:rsid w:val="36FB00F6"/>
    <w:rsid w:val="370C40B1"/>
    <w:rsid w:val="37124986"/>
    <w:rsid w:val="371A4A20"/>
    <w:rsid w:val="371C1A25"/>
    <w:rsid w:val="37271359"/>
    <w:rsid w:val="374C2700"/>
    <w:rsid w:val="37A05D52"/>
    <w:rsid w:val="37A20571"/>
    <w:rsid w:val="37A4078E"/>
    <w:rsid w:val="37C3031A"/>
    <w:rsid w:val="38233460"/>
    <w:rsid w:val="38C779BE"/>
    <w:rsid w:val="39253208"/>
    <w:rsid w:val="3A3A0F35"/>
    <w:rsid w:val="3A52627F"/>
    <w:rsid w:val="3A6619DD"/>
    <w:rsid w:val="3A731EB8"/>
    <w:rsid w:val="3A8C1CA7"/>
    <w:rsid w:val="3A8D1837"/>
    <w:rsid w:val="3A935D4C"/>
    <w:rsid w:val="3ABD742B"/>
    <w:rsid w:val="3B143853"/>
    <w:rsid w:val="3B697D24"/>
    <w:rsid w:val="3B96663F"/>
    <w:rsid w:val="3BA7084C"/>
    <w:rsid w:val="3BFA3FCF"/>
    <w:rsid w:val="3CB07B25"/>
    <w:rsid w:val="3CFC071D"/>
    <w:rsid w:val="3DBA245E"/>
    <w:rsid w:val="3DBA4867"/>
    <w:rsid w:val="3DBD4357"/>
    <w:rsid w:val="3E801FB1"/>
    <w:rsid w:val="3E90204E"/>
    <w:rsid w:val="3F544847"/>
    <w:rsid w:val="3FD634AE"/>
    <w:rsid w:val="4011372C"/>
    <w:rsid w:val="40632F94"/>
    <w:rsid w:val="408455E5"/>
    <w:rsid w:val="41816E02"/>
    <w:rsid w:val="41C01DCE"/>
    <w:rsid w:val="41D57EC1"/>
    <w:rsid w:val="429A6960"/>
    <w:rsid w:val="42E3660E"/>
    <w:rsid w:val="42ED577C"/>
    <w:rsid w:val="42FC76D0"/>
    <w:rsid w:val="43295C68"/>
    <w:rsid w:val="43903E5F"/>
    <w:rsid w:val="43AD109A"/>
    <w:rsid w:val="44027DCD"/>
    <w:rsid w:val="44056A3D"/>
    <w:rsid w:val="440D0713"/>
    <w:rsid w:val="440E10EE"/>
    <w:rsid w:val="445B7014"/>
    <w:rsid w:val="4473751E"/>
    <w:rsid w:val="44EC107E"/>
    <w:rsid w:val="44EF24B6"/>
    <w:rsid w:val="45795008"/>
    <w:rsid w:val="45AE315F"/>
    <w:rsid w:val="45B817BB"/>
    <w:rsid w:val="45D24718"/>
    <w:rsid w:val="465D308A"/>
    <w:rsid w:val="46E6047B"/>
    <w:rsid w:val="47146ABB"/>
    <w:rsid w:val="473D1B5E"/>
    <w:rsid w:val="486F44A0"/>
    <w:rsid w:val="48AB197C"/>
    <w:rsid w:val="493279A7"/>
    <w:rsid w:val="496D4D42"/>
    <w:rsid w:val="49C17EFB"/>
    <w:rsid w:val="4A800BE6"/>
    <w:rsid w:val="4B2D2BAA"/>
    <w:rsid w:val="4B30028E"/>
    <w:rsid w:val="4BCD7927"/>
    <w:rsid w:val="4BDE4CEB"/>
    <w:rsid w:val="4BFB1C5E"/>
    <w:rsid w:val="4C8A6922"/>
    <w:rsid w:val="4C9D15DC"/>
    <w:rsid w:val="4CA94424"/>
    <w:rsid w:val="4CD94924"/>
    <w:rsid w:val="4D2C295F"/>
    <w:rsid w:val="4D797F21"/>
    <w:rsid w:val="4DA62712"/>
    <w:rsid w:val="4E03376D"/>
    <w:rsid w:val="4E355844"/>
    <w:rsid w:val="4E4A776D"/>
    <w:rsid w:val="4E543742"/>
    <w:rsid w:val="4EF94AC3"/>
    <w:rsid w:val="4F053468"/>
    <w:rsid w:val="4F8627FB"/>
    <w:rsid w:val="4FB52051"/>
    <w:rsid w:val="50B9287D"/>
    <w:rsid w:val="50C7131D"/>
    <w:rsid w:val="50D51D5C"/>
    <w:rsid w:val="51114346"/>
    <w:rsid w:val="511F64FB"/>
    <w:rsid w:val="517B5C63"/>
    <w:rsid w:val="51C14CA4"/>
    <w:rsid w:val="52075749"/>
    <w:rsid w:val="52B308A3"/>
    <w:rsid w:val="52BF018E"/>
    <w:rsid w:val="52C11D9C"/>
    <w:rsid w:val="52CF44B9"/>
    <w:rsid w:val="52DF2202"/>
    <w:rsid w:val="52E87329"/>
    <w:rsid w:val="52F877D4"/>
    <w:rsid w:val="53057EDB"/>
    <w:rsid w:val="531A2562"/>
    <w:rsid w:val="532C5D94"/>
    <w:rsid w:val="53360094"/>
    <w:rsid w:val="53531AC1"/>
    <w:rsid w:val="53575A5C"/>
    <w:rsid w:val="538C5F06"/>
    <w:rsid w:val="53F35F85"/>
    <w:rsid w:val="540B1521"/>
    <w:rsid w:val="54A2235A"/>
    <w:rsid w:val="55380B46"/>
    <w:rsid w:val="55767EF4"/>
    <w:rsid w:val="55AD1D53"/>
    <w:rsid w:val="55D259A4"/>
    <w:rsid w:val="55D50038"/>
    <w:rsid w:val="56682C5A"/>
    <w:rsid w:val="56D22CBB"/>
    <w:rsid w:val="56E322E1"/>
    <w:rsid w:val="56E43126"/>
    <w:rsid w:val="57081D47"/>
    <w:rsid w:val="573111D6"/>
    <w:rsid w:val="573E7E5F"/>
    <w:rsid w:val="57521BD7"/>
    <w:rsid w:val="57711FE2"/>
    <w:rsid w:val="58097295"/>
    <w:rsid w:val="581D7C2B"/>
    <w:rsid w:val="584250D3"/>
    <w:rsid w:val="58860E21"/>
    <w:rsid w:val="58BC4221"/>
    <w:rsid w:val="58CF5440"/>
    <w:rsid w:val="5915668D"/>
    <w:rsid w:val="594E342F"/>
    <w:rsid w:val="595C7D9C"/>
    <w:rsid w:val="59E170E2"/>
    <w:rsid w:val="5AD308BE"/>
    <w:rsid w:val="5B6D0D13"/>
    <w:rsid w:val="5B906EEA"/>
    <w:rsid w:val="5C272A39"/>
    <w:rsid w:val="5C633385"/>
    <w:rsid w:val="5C8A31FF"/>
    <w:rsid w:val="5CC6692D"/>
    <w:rsid w:val="5D146756"/>
    <w:rsid w:val="5D964551"/>
    <w:rsid w:val="5DA84284"/>
    <w:rsid w:val="5DDB6408"/>
    <w:rsid w:val="5E062D59"/>
    <w:rsid w:val="5E141A3D"/>
    <w:rsid w:val="5E2558D5"/>
    <w:rsid w:val="5E3342AE"/>
    <w:rsid w:val="5E761FC7"/>
    <w:rsid w:val="5E781EA8"/>
    <w:rsid w:val="5E9B16F3"/>
    <w:rsid w:val="5F053010"/>
    <w:rsid w:val="5F6661A5"/>
    <w:rsid w:val="5FA97E40"/>
    <w:rsid w:val="5FF93E84"/>
    <w:rsid w:val="601531CC"/>
    <w:rsid w:val="6024077A"/>
    <w:rsid w:val="60335368"/>
    <w:rsid w:val="603D5158"/>
    <w:rsid w:val="60C50CA9"/>
    <w:rsid w:val="60EC6236"/>
    <w:rsid w:val="613100ED"/>
    <w:rsid w:val="61486C94"/>
    <w:rsid w:val="61C97BD0"/>
    <w:rsid w:val="61E756D6"/>
    <w:rsid w:val="61FC06FB"/>
    <w:rsid w:val="62E21FE6"/>
    <w:rsid w:val="631A7FA3"/>
    <w:rsid w:val="63626C83"/>
    <w:rsid w:val="63B3645B"/>
    <w:rsid w:val="63EF723E"/>
    <w:rsid w:val="644C7E4A"/>
    <w:rsid w:val="64A04202"/>
    <w:rsid w:val="65A36131"/>
    <w:rsid w:val="65EC557B"/>
    <w:rsid w:val="65EE47FE"/>
    <w:rsid w:val="65FF7C3C"/>
    <w:rsid w:val="66EF6A80"/>
    <w:rsid w:val="66F5689B"/>
    <w:rsid w:val="672E2F7A"/>
    <w:rsid w:val="67D55C76"/>
    <w:rsid w:val="67EF71EC"/>
    <w:rsid w:val="68444BA9"/>
    <w:rsid w:val="68872F6D"/>
    <w:rsid w:val="68A93928"/>
    <w:rsid w:val="68F93BE6"/>
    <w:rsid w:val="691D5B26"/>
    <w:rsid w:val="6A082FA8"/>
    <w:rsid w:val="6AA47B81"/>
    <w:rsid w:val="6AB853DB"/>
    <w:rsid w:val="6ABA607D"/>
    <w:rsid w:val="6ACD416B"/>
    <w:rsid w:val="6B321631"/>
    <w:rsid w:val="6B4D7E98"/>
    <w:rsid w:val="6B735ED1"/>
    <w:rsid w:val="6BB50010"/>
    <w:rsid w:val="6C054650"/>
    <w:rsid w:val="6C2246DA"/>
    <w:rsid w:val="6D176D30"/>
    <w:rsid w:val="6D1A237D"/>
    <w:rsid w:val="6D262AD0"/>
    <w:rsid w:val="6E001D87"/>
    <w:rsid w:val="6EE60768"/>
    <w:rsid w:val="6F075CE7"/>
    <w:rsid w:val="6F6758BF"/>
    <w:rsid w:val="6F7E6BF3"/>
    <w:rsid w:val="703674CE"/>
    <w:rsid w:val="704812DB"/>
    <w:rsid w:val="70661C56"/>
    <w:rsid w:val="70F0595F"/>
    <w:rsid w:val="70F81FDA"/>
    <w:rsid w:val="71163687"/>
    <w:rsid w:val="71184E25"/>
    <w:rsid w:val="71285068"/>
    <w:rsid w:val="71ED0060"/>
    <w:rsid w:val="72CD726B"/>
    <w:rsid w:val="72EB79B4"/>
    <w:rsid w:val="7324128A"/>
    <w:rsid w:val="73467A28"/>
    <w:rsid w:val="739F35DC"/>
    <w:rsid w:val="73F13E37"/>
    <w:rsid w:val="74B65081"/>
    <w:rsid w:val="74C706DA"/>
    <w:rsid w:val="74E74A9C"/>
    <w:rsid w:val="7507768A"/>
    <w:rsid w:val="75244B75"/>
    <w:rsid w:val="75305569"/>
    <w:rsid w:val="75992613"/>
    <w:rsid w:val="75AD0232"/>
    <w:rsid w:val="75BB2B51"/>
    <w:rsid w:val="75E654F2"/>
    <w:rsid w:val="75F26571"/>
    <w:rsid w:val="76157B85"/>
    <w:rsid w:val="765A2E3F"/>
    <w:rsid w:val="76EB7264"/>
    <w:rsid w:val="77100A78"/>
    <w:rsid w:val="772A439D"/>
    <w:rsid w:val="776E1C43"/>
    <w:rsid w:val="77BC475C"/>
    <w:rsid w:val="77CA50CB"/>
    <w:rsid w:val="780D320A"/>
    <w:rsid w:val="7847561E"/>
    <w:rsid w:val="784F737E"/>
    <w:rsid w:val="785707F0"/>
    <w:rsid w:val="785D6A0E"/>
    <w:rsid w:val="78787EEC"/>
    <w:rsid w:val="7879089F"/>
    <w:rsid w:val="790D4802"/>
    <w:rsid w:val="796B01E8"/>
    <w:rsid w:val="799F7E92"/>
    <w:rsid w:val="79A617E1"/>
    <w:rsid w:val="79AB6836"/>
    <w:rsid w:val="79E85CDC"/>
    <w:rsid w:val="79EB00CF"/>
    <w:rsid w:val="7A1F18FF"/>
    <w:rsid w:val="7A4874F5"/>
    <w:rsid w:val="7ABE2599"/>
    <w:rsid w:val="7BE44282"/>
    <w:rsid w:val="7C077F47"/>
    <w:rsid w:val="7CE65DD7"/>
    <w:rsid w:val="7D425704"/>
    <w:rsid w:val="7E97382D"/>
    <w:rsid w:val="7F0C49D4"/>
    <w:rsid w:val="7F405C73"/>
    <w:rsid w:val="7FAF680B"/>
    <w:rsid w:val="7FEF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3"/>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qFormat/>
    <w:uiPriority w:val="0"/>
    <w:pPr>
      <w:spacing w:line="60" w:lineRule="auto"/>
    </w:pPr>
    <w:rPr>
      <w:rFonts w:ascii="Verdana" w:eastAsia="Verdana" w:cs="Times New Roman"/>
      <w:sz w:val="32"/>
    </w:r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Body Text Indent 2"/>
    <w:basedOn w:val="1"/>
    <w:qFormat/>
    <w:uiPriority w:val="0"/>
    <w:pPr>
      <w:spacing w:after="120" w:line="480" w:lineRule="auto"/>
      <w:ind w:left="420" w:leftChars="200"/>
    </w:pPr>
  </w:style>
  <w:style w:type="paragraph" w:styleId="18">
    <w:name w:val="endnote text"/>
    <w:basedOn w:val="1"/>
    <w:link w:val="185"/>
    <w:semiHidden/>
    <w:unhideWhenUsed/>
    <w:qFormat/>
    <w:uiPriority w:val="99"/>
    <w:rPr>
      <w:sz w:val="20"/>
    </w:rPr>
  </w:style>
  <w:style w:type="paragraph" w:styleId="19">
    <w:name w:val="footer"/>
    <w:basedOn w:val="1"/>
    <w:link w:val="58"/>
    <w:unhideWhenUsed/>
    <w:qFormat/>
    <w:uiPriority w:val="99"/>
    <w:pPr>
      <w:tabs>
        <w:tab w:val="center" w:pos="7143"/>
        <w:tab w:val="right" w:pos="14287"/>
      </w:tabs>
    </w:pPr>
  </w:style>
  <w:style w:type="paragraph" w:styleId="20">
    <w:name w:val="header"/>
    <w:basedOn w:val="1"/>
    <w:link w:val="56"/>
    <w:unhideWhenUsed/>
    <w:qFormat/>
    <w:uiPriority w:val="99"/>
    <w:pPr>
      <w:tabs>
        <w:tab w:val="center" w:pos="7143"/>
        <w:tab w:val="right" w:pos="14287"/>
      </w:tabs>
    </w:p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51"/>
    <w:qFormat/>
    <w:uiPriority w:val="11"/>
    <w:pPr>
      <w:spacing w:before="200" w:after="200"/>
    </w:pPr>
    <w:rPr>
      <w:sz w:val="24"/>
      <w:szCs w:val="24"/>
    </w:rPr>
  </w:style>
  <w:style w:type="paragraph" w:styleId="24">
    <w:name w:val="footnote text"/>
    <w:basedOn w:val="1"/>
    <w:link w:val="184"/>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Title"/>
    <w:basedOn w:val="1"/>
    <w:next w:val="1"/>
    <w:link w:val="50"/>
    <w:qFormat/>
    <w:uiPriority w:val="10"/>
    <w:pPr>
      <w:spacing w:before="300" w:after="200"/>
      <w:contextualSpacing/>
    </w:pPr>
    <w:rPr>
      <w:sz w:val="48"/>
      <w:szCs w:val="48"/>
    </w:rPr>
  </w:style>
  <w:style w:type="paragraph" w:styleId="30">
    <w:name w:val="Body Text First Indent"/>
    <w:basedOn w:val="13"/>
    <w:qFormat/>
    <w:uiPriority w:val="99"/>
    <w:pPr>
      <w:spacing w:after="120" w:line="240" w:lineRule="auto"/>
      <w:ind w:firstLine="100" w:firstLineChars="100"/>
    </w:pPr>
    <w:rPr>
      <w:rFonts w:ascii="方正舒体" w:hAnsi="方正舒体" w:eastAsia="Calibri"/>
      <w:sz w:val="21"/>
    </w:rPr>
  </w:style>
  <w:style w:type="table" w:styleId="3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FollowedHyperlink"/>
    <w:basedOn w:val="33"/>
    <w:semiHidden/>
    <w:unhideWhenUsed/>
    <w:qFormat/>
    <w:uiPriority w:val="99"/>
    <w:rPr>
      <w:color w:val="333333"/>
      <w:u w:val="none"/>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footnote reference"/>
    <w:unhideWhenUsed/>
    <w:qFormat/>
    <w:uiPriority w:val="99"/>
    <w:rPr>
      <w:vertAlign w:val="superscript"/>
    </w:rPr>
  </w:style>
  <w:style w:type="paragraph" w:customStyle="1" w:styleId="38">
    <w:name w:val="标题二、"/>
    <w:basedOn w:val="1"/>
    <w:qFormat/>
    <w:uiPriority w:val="99"/>
    <w:pPr>
      <w:spacing w:line="360" w:lineRule="auto"/>
      <w:ind w:firstLine="200"/>
      <w:outlineLvl w:val="2"/>
    </w:pPr>
    <w:rPr>
      <w:rFonts w:ascii="宋体" w:hAnsi="宋体"/>
      <w:b/>
    </w:rPr>
  </w:style>
  <w:style w:type="character" w:customStyle="1" w:styleId="39">
    <w:name w:val="标题 1 Char1"/>
    <w:link w:val="2"/>
    <w:qFormat/>
    <w:uiPriority w:val="9"/>
    <w:rPr>
      <w:rFonts w:ascii="Arial" w:hAnsi="Arial" w:eastAsia="Arial" w:cs="Arial"/>
      <w:sz w:val="40"/>
      <w:szCs w:val="40"/>
    </w:rPr>
  </w:style>
  <w:style w:type="character" w:customStyle="1" w:styleId="40">
    <w:name w:val="标题 2 Char1"/>
    <w:link w:val="3"/>
    <w:qFormat/>
    <w:uiPriority w:val="9"/>
    <w:rPr>
      <w:rFonts w:ascii="Arial" w:hAnsi="Arial" w:eastAsia="Arial" w:cs="Arial"/>
      <w:sz w:val="34"/>
    </w:rPr>
  </w:style>
  <w:style w:type="character" w:customStyle="1" w:styleId="41">
    <w:name w:val="标题 3 Char1"/>
    <w:link w:val="4"/>
    <w:qFormat/>
    <w:uiPriority w:val="9"/>
    <w:rPr>
      <w:rFonts w:ascii="Arial" w:hAnsi="Arial" w:eastAsia="Arial" w:cs="Arial"/>
      <w:sz w:val="30"/>
      <w:szCs w:val="30"/>
    </w:rPr>
  </w:style>
  <w:style w:type="character" w:customStyle="1" w:styleId="42">
    <w:name w:val="标题 4 Char1"/>
    <w:link w:val="5"/>
    <w:qFormat/>
    <w:uiPriority w:val="9"/>
    <w:rPr>
      <w:rFonts w:ascii="Arial" w:hAnsi="Arial" w:eastAsia="Arial" w:cs="Arial"/>
      <w:b/>
      <w:bCs/>
      <w:sz w:val="26"/>
      <w:szCs w:val="26"/>
    </w:rPr>
  </w:style>
  <w:style w:type="character" w:customStyle="1" w:styleId="43">
    <w:name w:val="标题 5 Char1"/>
    <w:link w:val="6"/>
    <w:qFormat/>
    <w:uiPriority w:val="9"/>
    <w:rPr>
      <w:rFonts w:ascii="Arial" w:hAnsi="Arial" w:eastAsia="Arial" w:cs="Arial"/>
      <w:b/>
      <w:bCs/>
      <w:sz w:val="24"/>
      <w:szCs w:val="24"/>
    </w:rPr>
  </w:style>
  <w:style w:type="character" w:customStyle="1" w:styleId="44">
    <w:name w:val="标题 6 Char1"/>
    <w:link w:val="7"/>
    <w:qFormat/>
    <w:uiPriority w:val="9"/>
    <w:rPr>
      <w:rFonts w:ascii="Arial" w:hAnsi="Arial" w:eastAsia="Arial" w:cs="Arial"/>
      <w:b/>
      <w:bCs/>
      <w:sz w:val="22"/>
      <w:szCs w:val="22"/>
    </w:rPr>
  </w:style>
  <w:style w:type="character" w:customStyle="1" w:styleId="45">
    <w:name w:val="标题 7 Char1"/>
    <w:link w:val="8"/>
    <w:qFormat/>
    <w:uiPriority w:val="9"/>
    <w:rPr>
      <w:rFonts w:ascii="Arial" w:hAnsi="Arial" w:eastAsia="Arial" w:cs="Arial"/>
      <w:b/>
      <w:bCs/>
      <w:i/>
      <w:iCs/>
      <w:sz w:val="22"/>
      <w:szCs w:val="22"/>
    </w:rPr>
  </w:style>
  <w:style w:type="character" w:customStyle="1" w:styleId="46">
    <w:name w:val="标题 8 Char1"/>
    <w:link w:val="9"/>
    <w:qFormat/>
    <w:uiPriority w:val="9"/>
    <w:rPr>
      <w:rFonts w:ascii="Arial" w:hAnsi="Arial" w:eastAsia="Arial" w:cs="Arial"/>
      <w:i/>
      <w:iCs/>
      <w:sz w:val="22"/>
      <w:szCs w:val="22"/>
    </w:rPr>
  </w:style>
  <w:style w:type="character" w:customStyle="1" w:styleId="47">
    <w:name w:val="标题 9 Char1"/>
    <w:link w:val="10"/>
    <w:qFormat/>
    <w:uiPriority w:val="9"/>
    <w:rPr>
      <w:rFonts w:ascii="Arial" w:hAnsi="Arial" w:eastAsia="Arial" w:cs="Arial"/>
      <w:i/>
      <w:iCs/>
      <w:sz w:val="21"/>
      <w:szCs w:val="21"/>
    </w:rPr>
  </w:style>
  <w:style w:type="paragraph" w:styleId="48">
    <w:name w:val="List Paragraph"/>
    <w:basedOn w:val="1"/>
    <w:qFormat/>
    <w:uiPriority w:val="34"/>
    <w:pPr>
      <w:ind w:left="720"/>
      <w:contextualSpacing/>
    </w:pPr>
  </w:style>
  <w:style w:type="paragraph" w:styleId="49">
    <w:name w:val="No Spacing"/>
    <w:qFormat/>
    <w:uiPriority w:val="1"/>
    <w:rPr>
      <w:rFonts w:ascii="Times New Roman" w:hAnsi="Times New Roman" w:eastAsia="宋体" w:cs="Times New Roman"/>
      <w:lang w:val="en-US" w:eastAsia="zh-CN" w:bidi="ar-SA"/>
    </w:rPr>
  </w:style>
  <w:style w:type="character" w:customStyle="1" w:styleId="50">
    <w:name w:val="标题 Char"/>
    <w:link w:val="29"/>
    <w:qFormat/>
    <w:uiPriority w:val="10"/>
    <w:rPr>
      <w:sz w:val="48"/>
      <w:szCs w:val="48"/>
    </w:rPr>
  </w:style>
  <w:style w:type="character" w:customStyle="1" w:styleId="51">
    <w:name w:val="副标题 Char"/>
    <w:link w:val="23"/>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引用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明显引用 Char"/>
    <w:link w:val="54"/>
    <w:qFormat/>
    <w:uiPriority w:val="30"/>
    <w:rPr>
      <w:i/>
    </w:rPr>
  </w:style>
  <w:style w:type="character" w:customStyle="1" w:styleId="56">
    <w:name w:val="页眉 Char1"/>
    <w:link w:val="20"/>
    <w:qFormat/>
    <w:uiPriority w:val="99"/>
  </w:style>
  <w:style w:type="character" w:customStyle="1" w:styleId="57">
    <w:name w:val="Footer Char"/>
    <w:link w:val="19"/>
    <w:qFormat/>
    <w:uiPriority w:val="99"/>
  </w:style>
  <w:style w:type="character" w:customStyle="1" w:styleId="58">
    <w:name w:val="页脚 Char1"/>
    <w:link w:val="19"/>
    <w:qFormat/>
    <w:uiPriority w:val="99"/>
  </w:style>
  <w:style w:type="table" w:customStyle="1" w:styleId="59">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4">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1">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脚注文本 Char"/>
    <w:link w:val="24"/>
    <w:qFormat/>
    <w:uiPriority w:val="99"/>
    <w:rPr>
      <w:sz w:val="18"/>
    </w:rPr>
  </w:style>
  <w:style w:type="character" w:customStyle="1" w:styleId="185">
    <w:name w:val="尾注文本 Char"/>
    <w:link w:val="18"/>
    <w:qFormat/>
    <w:uiPriority w:val="99"/>
    <w:rPr>
      <w:sz w:val="20"/>
    </w:rPr>
  </w:style>
  <w:style w:type="paragraph" w:customStyle="1" w:styleId="186">
    <w:name w:val="TOC 标题1"/>
    <w:unhideWhenUsed/>
    <w:qFormat/>
    <w:uiPriority w:val="39"/>
    <w:rPr>
      <w:rFonts w:ascii="Times New Roman" w:hAnsi="Times New Roman" w:eastAsia="宋体" w:cs="Times New Roman"/>
      <w:lang w:val="en-US" w:eastAsia="zh-CN" w:bidi="ar-SA"/>
    </w:rPr>
  </w:style>
  <w:style w:type="paragraph" w:customStyle="1" w:styleId="187">
    <w:name w:val="标题 11"/>
    <w:basedOn w:val="1"/>
    <w:next w:val="1"/>
    <w:link w:val="199"/>
    <w:qFormat/>
    <w:uiPriority w:val="0"/>
    <w:pPr>
      <w:keepNext/>
      <w:jc w:val="center"/>
      <w:outlineLvl w:val="0"/>
    </w:pPr>
    <w:rPr>
      <w:rFonts w:ascii="楷体_GB2312" w:eastAsia="楷体_GB2312"/>
      <w:sz w:val="28"/>
      <w:szCs w:val="28"/>
    </w:rPr>
  </w:style>
  <w:style w:type="paragraph" w:customStyle="1" w:styleId="188">
    <w:name w:val="标题 21"/>
    <w:basedOn w:val="1"/>
    <w:next w:val="1"/>
    <w:link w:val="200"/>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89">
    <w:name w:val="标题 31"/>
    <w:basedOn w:val="1"/>
    <w:next w:val="190"/>
    <w:link w:val="201"/>
    <w:qFormat/>
    <w:uiPriority w:val="0"/>
    <w:pPr>
      <w:keepNext/>
      <w:keepLines/>
      <w:spacing w:before="260" w:after="260" w:line="416" w:lineRule="auto"/>
      <w:outlineLvl w:val="2"/>
    </w:pPr>
    <w:rPr>
      <w:b/>
      <w:bCs/>
      <w:sz w:val="32"/>
      <w:szCs w:val="32"/>
    </w:rPr>
  </w:style>
  <w:style w:type="paragraph" w:customStyle="1" w:styleId="190">
    <w:name w:val="正文缩进1"/>
    <w:basedOn w:val="1"/>
    <w:next w:val="1"/>
    <w:link w:val="202"/>
    <w:qFormat/>
    <w:uiPriority w:val="0"/>
    <w:pPr>
      <w:ind w:firstLine="420"/>
    </w:pPr>
  </w:style>
  <w:style w:type="paragraph" w:customStyle="1" w:styleId="191">
    <w:name w:val="标题 41"/>
    <w:basedOn w:val="1"/>
    <w:next w:val="1"/>
    <w:link w:val="203"/>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92">
    <w:name w:val="标题 51"/>
    <w:basedOn w:val="1"/>
    <w:next w:val="190"/>
    <w:link w:val="204"/>
    <w:qFormat/>
    <w:uiPriority w:val="0"/>
    <w:pPr>
      <w:keepNext/>
      <w:outlineLvl w:val="4"/>
    </w:pPr>
    <w:rPr>
      <w:rFonts w:ascii="宋体"/>
      <w:color w:val="000000"/>
      <w:sz w:val="28"/>
      <w:szCs w:val="28"/>
    </w:rPr>
  </w:style>
  <w:style w:type="paragraph" w:customStyle="1" w:styleId="193">
    <w:name w:val="标题 61"/>
    <w:basedOn w:val="1"/>
    <w:next w:val="1"/>
    <w:link w:val="205"/>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94">
    <w:name w:val="标题 71"/>
    <w:basedOn w:val="1"/>
    <w:next w:val="1"/>
    <w:link w:val="206"/>
    <w:qFormat/>
    <w:uiPriority w:val="0"/>
    <w:pPr>
      <w:keepNext/>
      <w:keepLines/>
      <w:numPr>
        <w:ilvl w:val="6"/>
        <w:numId w:val="1"/>
      </w:numPr>
      <w:spacing w:before="240" w:after="64" w:line="320" w:lineRule="auto"/>
      <w:outlineLvl w:val="6"/>
    </w:pPr>
    <w:rPr>
      <w:b/>
      <w:bCs/>
      <w:sz w:val="24"/>
      <w:szCs w:val="24"/>
    </w:rPr>
  </w:style>
  <w:style w:type="paragraph" w:customStyle="1" w:styleId="195">
    <w:name w:val="标题 81"/>
    <w:basedOn w:val="1"/>
    <w:next w:val="1"/>
    <w:link w:val="207"/>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196">
    <w:name w:val="标题 91"/>
    <w:basedOn w:val="1"/>
    <w:next w:val="1"/>
    <w:link w:val="208"/>
    <w:qFormat/>
    <w:uiPriority w:val="0"/>
    <w:pPr>
      <w:keepNext/>
      <w:keepLines/>
      <w:numPr>
        <w:ilvl w:val="8"/>
        <w:numId w:val="1"/>
      </w:numPr>
      <w:spacing w:before="240" w:after="64" w:line="320" w:lineRule="auto"/>
      <w:outlineLvl w:val="8"/>
    </w:pPr>
    <w:rPr>
      <w:rFonts w:ascii="Arial" w:hAnsi="Arial" w:eastAsia="黑体"/>
    </w:rPr>
  </w:style>
  <w:style w:type="character" w:customStyle="1" w:styleId="197">
    <w:name w:val="默认段落字体1"/>
    <w:unhideWhenUsed/>
    <w:qFormat/>
    <w:uiPriority w:val="1"/>
  </w:style>
  <w:style w:type="table" w:customStyle="1" w:styleId="198">
    <w:name w:val="普通表格1"/>
    <w:unhideWhenUsed/>
    <w:qFormat/>
    <w:uiPriority w:val="99"/>
    <w:tblPr>
      <w:tblCellMar>
        <w:top w:w="0" w:type="dxa"/>
        <w:left w:w="0" w:type="dxa"/>
        <w:bottom w:w="0" w:type="dxa"/>
        <w:right w:w="0" w:type="dxa"/>
      </w:tblCellMar>
    </w:tblPr>
  </w:style>
  <w:style w:type="character" w:customStyle="1" w:styleId="199">
    <w:name w:val="标题 1 Char"/>
    <w:link w:val="187"/>
    <w:qFormat/>
    <w:uiPriority w:val="0"/>
    <w:rPr>
      <w:rFonts w:ascii="楷体_GB2312" w:hAnsi="Times New Roman" w:eastAsia="楷体_GB2312" w:cs="Times New Roman"/>
      <w:sz w:val="28"/>
      <w:szCs w:val="28"/>
    </w:rPr>
  </w:style>
  <w:style w:type="character" w:customStyle="1" w:styleId="200">
    <w:name w:val="标题 2 Char"/>
    <w:link w:val="188"/>
    <w:qFormat/>
    <w:uiPriority w:val="0"/>
    <w:rPr>
      <w:rFonts w:ascii="Arial" w:hAnsi="Arial" w:eastAsia="幼圆" w:cs="Arial"/>
      <w:b/>
      <w:bCs/>
      <w:sz w:val="44"/>
      <w:szCs w:val="44"/>
    </w:rPr>
  </w:style>
  <w:style w:type="character" w:customStyle="1" w:styleId="201">
    <w:name w:val="标题 3 Char"/>
    <w:link w:val="189"/>
    <w:qFormat/>
    <w:uiPriority w:val="0"/>
    <w:rPr>
      <w:rFonts w:ascii="Times New Roman" w:hAnsi="Times New Roman" w:eastAsia="宋体" w:cs="Times New Roman"/>
      <w:b/>
      <w:bCs/>
      <w:sz w:val="32"/>
      <w:szCs w:val="32"/>
    </w:rPr>
  </w:style>
  <w:style w:type="character" w:customStyle="1" w:styleId="202">
    <w:name w:val="正文缩进 Char"/>
    <w:link w:val="190"/>
    <w:qFormat/>
    <w:uiPriority w:val="0"/>
    <w:rPr>
      <w:rFonts w:ascii="Times New Roman" w:hAnsi="Times New Roman" w:eastAsia="宋体" w:cs="Times New Roman"/>
      <w:szCs w:val="21"/>
    </w:rPr>
  </w:style>
  <w:style w:type="character" w:customStyle="1" w:styleId="203">
    <w:name w:val="标题 4 Char"/>
    <w:link w:val="191"/>
    <w:qFormat/>
    <w:uiPriority w:val="0"/>
    <w:rPr>
      <w:rFonts w:ascii="Arial" w:hAnsi="Arial" w:eastAsia="黑体" w:cs="Arial"/>
      <w:b/>
      <w:bCs/>
      <w:sz w:val="28"/>
      <w:szCs w:val="28"/>
    </w:rPr>
  </w:style>
  <w:style w:type="character" w:customStyle="1" w:styleId="204">
    <w:name w:val="标题 5 Char"/>
    <w:link w:val="192"/>
    <w:qFormat/>
    <w:uiPriority w:val="0"/>
    <w:rPr>
      <w:rFonts w:ascii="宋体" w:hAnsi="Times New Roman" w:eastAsia="宋体" w:cs="Times New Roman"/>
      <w:color w:val="000000"/>
      <w:sz w:val="28"/>
      <w:szCs w:val="28"/>
    </w:rPr>
  </w:style>
  <w:style w:type="character" w:customStyle="1" w:styleId="205">
    <w:name w:val="标题 6 Char"/>
    <w:link w:val="193"/>
    <w:qFormat/>
    <w:uiPriority w:val="0"/>
    <w:rPr>
      <w:rFonts w:ascii="Arial" w:hAnsi="Arial" w:eastAsia="黑体" w:cs="Times New Roman"/>
      <w:b/>
      <w:bCs/>
      <w:sz w:val="24"/>
      <w:szCs w:val="24"/>
    </w:rPr>
  </w:style>
  <w:style w:type="character" w:customStyle="1" w:styleId="206">
    <w:name w:val="标题 7 Char"/>
    <w:link w:val="194"/>
    <w:qFormat/>
    <w:uiPriority w:val="0"/>
    <w:rPr>
      <w:rFonts w:ascii="Times New Roman" w:hAnsi="Times New Roman" w:eastAsia="宋体" w:cs="Times New Roman"/>
      <w:b/>
      <w:bCs/>
      <w:sz w:val="24"/>
      <w:szCs w:val="24"/>
    </w:rPr>
  </w:style>
  <w:style w:type="character" w:customStyle="1" w:styleId="207">
    <w:name w:val="标题 8 Char"/>
    <w:link w:val="195"/>
    <w:qFormat/>
    <w:uiPriority w:val="0"/>
    <w:rPr>
      <w:rFonts w:ascii="Arial" w:hAnsi="Arial" w:eastAsia="黑体" w:cs="Times New Roman"/>
      <w:sz w:val="24"/>
      <w:szCs w:val="24"/>
    </w:rPr>
  </w:style>
  <w:style w:type="character" w:customStyle="1" w:styleId="208">
    <w:name w:val="标题 9 Char"/>
    <w:link w:val="196"/>
    <w:qFormat/>
    <w:uiPriority w:val="0"/>
    <w:rPr>
      <w:rFonts w:ascii="Arial" w:hAnsi="Arial" w:eastAsia="黑体" w:cs="Times New Roman"/>
      <w:szCs w:val="21"/>
    </w:rPr>
  </w:style>
  <w:style w:type="paragraph" w:customStyle="1" w:styleId="209">
    <w:name w:val="列表 31"/>
    <w:basedOn w:val="1"/>
    <w:qFormat/>
    <w:uiPriority w:val="0"/>
    <w:pPr>
      <w:ind w:left="100" w:hanging="200"/>
    </w:pPr>
  </w:style>
  <w:style w:type="paragraph" w:customStyle="1" w:styleId="210">
    <w:name w:val="目录 71"/>
    <w:basedOn w:val="1"/>
    <w:next w:val="1"/>
    <w:semiHidden/>
    <w:qFormat/>
    <w:uiPriority w:val="0"/>
    <w:pPr>
      <w:ind w:left="1260"/>
      <w:jc w:val="left"/>
    </w:pPr>
  </w:style>
  <w:style w:type="paragraph" w:customStyle="1" w:styleId="211">
    <w:name w:val="文档结构图1"/>
    <w:basedOn w:val="1"/>
    <w:link w:val="212"/>
    <w:semiHidden/>
    <w:qFormat/>
    <w:uiPriority w:val="0"/>
    <w:pPr>
      <w:shd w:val="clear" w:color="auto" w:fill="000080"/>
    </w:pPr>
  </w:style>
  <w:style w:type="character" w:customStyle="1" w:styleId="212">
    <w:name w:val="文档结构图 Char"/>
    <w:link w:val="211"/>
    <w:semiHidden/>
    <w:qFormat/>
    <w:uiPriority w:val="0"/>
    <w:rPr>
      <w:rFonts w:ascii="Times New Roman" w:hAnsi="Times New Roman" w:eastAsia="宋体" w:cs="Times New Roman"/>
      <w:szCs w:val="21"/>
      <w:shd w:val="clear" w:color="auto" w:fill="000080"/>
    </w:rPr>
  </w:style>
  <w:style w:type="paragraph" w:customStyle="1" w:styleId="213">
    <w:name w:val="批注文字1"/>
    <w:basedOn w:val="1"/>
    <w:link w:val="214"/>
    <w:semiHidden/>
    <w:qFormat/>
    <w:uiPriority w:val="0"/>
    <w:pPr>
      <w:jc w:val="left"/>
    </w:pPr>
  </w:style>
  <w:style w:type="character" w:customStyle="1" w:styleId="214">
    <w:name w:val="批注文字 Char"/>
    <w:link w:val="213"/>
    <w:semiHidden/>
    <w:qFormat/>
    <w:uiPriority w:val="0"/>
    <w:rPr>
      <w:rFonts w:ascii="Times New Roman" w:hAnsi="Times New Roman" w:eastAsia="宋体" w:cs="Times New Roman"/>
      <w:szCs w:val="21"/>
    </w:rPr>
  </w:style>
  <w:style w:type="paragraph" w:customStyle="1" w:styleId="215">
    <w:name w:val="正文文本 31"/>
    <w:basedOn w:val="1"/>
    <w:link w:val="216"/>
    <w:qFormat/>
    <w:uiPriority w:val="0"/>
    <w:rPr>
      <w:rFonts w:ascii="仿宋_GB2312" w:hAnsi="Arial" w:eastAsia="仿宋_GB2312"/>
      <w:sz w:val="32"/>
      <w:szCs w:val="32"/>
    </w:rPr>
  </w:style>
  <w:style w:type="character" w:customStyle="1" w:styleId="216">
    <w:name w:val="正文文本 3 Char"/>
    <w:link w:val="215"/>
    <w:qFormat/>
    <w:uiPriority w:val="0"/>
    <w:rPr>
      <w:rFonts w:ascii="仿宋_GB2312" w:hAnsi="Arial" w:eastAsia="仿宋_GB2312" w:cs="Times New Roman"/>
      <w:sz w:val="32"/>
      <w:szCs w:val="32"/>
    </w:rPr>
  </w:style>
  <w:style w:type="paragraph" w:customStyle="1" w:styleId="217">
    <w:name w:val="正文文本11"/>
    <w:basedOn w:val="1"/>
    <w:next w:val="1"/>
    <w:link w:val="218"/>
    <w:qFormat/>
    <w:uiPriority w:val="0"/>
    <w:rPr>
      <w:rFonts w:ascii="楷体_GB2312" w:hAnsi="Arial" w:eastAsia="楷体_GB2312"/>
      <w:sz w:val="28"/>
      <w:szCs w:val="28"/>
    </w:rPr>
  </w:style>
  <w:style w:type="character" w:customStyle="1" w:styleId="218">
    <w:name w:val="正文文本 Char"/>
    <w:link w:val="217"/>
    <w:qFormat/>
    <w:uiPriority w:val="0"/>
    <w:rPr>
      <w:rFonts w:ascii="楷体_GB2312" w:hAnsi="Arial" w:eastAsia="楷体_GB2312" w:cs="Times New Roman"/>
      <w:sz w:val="28"/>
      <w:szCs w:val="28"/>
    </w:rPr>
  </w:style>
  <w:style w:type="paragraph" w:customStyle="1" w:styleId="219">
    <w:name w:val="正文文本缩进1"/>
    <w:basedOn w:val="1"/>
    <w:next w:val="220"/>
    <w:link w:val="221"/>
    <w:qFormat/>
    <w:uiPriority w:val="0"/>
    <w:pPr>
      <w:ind w:firstLine="645"/>
    </w:pPr>
    <w:rPr>
      <w:rFonts w:ascii="楷体_GB2312" w:eastAsia="楷体_GB2312"/>
      <w:sz w:val="32"/>
      <w:szCs w:val="32"/>
    </w:rPr>
  </w:style>
  <w:style w:type="paragraph" w:customStyle="1" w:styleId="220">
    <w:name w:val="寄信人地址1"/>
    <w:basedOn w:val="1"/>
    <w:unhideWhenUsed/>
    <w:qFormat/>
    <w:uiPriority w:val="99"/>
    <w:rPr>
      <w:rFonts w:ascii="Arial" w:hAnsi="Arial"/>
    </w:rPr>
  </w:style>
  <w:style w:type="character" w:customStyle="1" w:styleId="221">
    <w:name w:val="正文文本缩进 Char"/>
    <w:link w:val="219"/>
    <w:qFormat/>
    <w:uiPriority w:val="0"/>
    <w:rPr>
      <w:rFonts w:ascii="楷体_GB2312" w:hAnsi="Times New Roman" w:eastAsia="楷体_GB2312" w:cs="Times New Roman"/>
      <w:sz w:val="32"/>
      <w:szCs w:val="32"/>
    </w:rPr>
  </w:style>
  <w:style w:type="paragraph" w:customStyle="1" w:styleId="222">
    <w:name w:val="列表 21"/>
    <w:basedOn w:val="1"/>
    <w:qFormat/>
    <w:uiPriority w:val="0"/>
    <w:pPr>
      <w:ind w:left="100" w:hanging="200"/>
    </w:pPr>
  </w:style>
  <w:style w:type="paragraph" w:customStyle="1" w:styleId="223">
    <w:name w:val="目录 51"/>
    <w:basedOn w:val="1"/>
    <w:next w:val="1"/>
    <w:semiHidden/>
    <w:qFormat/>
    <w:uiPriority w:val="0"/>
    <w:pPr>
      <w:ind w:left="840"/>
      <w:jc w:val="left"/>
    </w:pPr>
  </w:style>
  <w:style w:type="paragraph" w:customStyle="1" w:styleId="224">
    <w:name w:val="目录 31"/>
    <w:basedOn w:val="1"/>
    <w:next w:val="1"/>
    <w:semiHidden/>
    <w:qFormat/>
    <w:uiPriority w:val="0"/>
    <w:pPr>
      <w:ind w:left="420"/>
      <w:jc w:val="left"/>
    </w:pPr>
    <w:rPr>
      <w:i/>
      <w:iCs/>
      <w:szCs w:val="24"/>
    </w:rPr>
  </w:style>
  <w:style w:type="paragraph" w:customStyle="1" w:styleId="225">
    <w:name w:val="纯文本1"/>
    <w:basedOn w:val="1"/>
    <w:link w:val="226"/>
    <w:qFormat/>
    <w:uiPriority w:val="0"/>
    <w:rPr>
      <w:rFonts w:ascii="宋体" w:hAnsi="Courier New" w:cs="Courier New"/>
    </w:rPr>
  </w:style>
  <w:style w:type="character" w:customStyle="1" w:styleId="226">
    <w:name w:val="纯文本 Char"/>
    <w:link w:val="225"/>
    <w:qFormat/>
    <w:uiPriority w:val="0"/>
    <w:rPr>
      <w:rFonts w:ascii="宋体" w:hAnsi="Courier New" w:eastAsia="宋体" w:cs="Courier New"/>
      <w:szCs w:val="21"/>
    </w:rPr>
  </w:style>
  <w:style w:type="paragraph" w:customStyle="1" w:styleId="227">
    <w:name w:val="目录 81"/>
    <w:basedOn w:val="1"/>
    <w:next w:val="1"/>
    <w:semiHidden/>
    <w:qFormat/>
    <w:uiPriority w:val="0"/>
    <w:pPr>
      <w:ind w:left="1470"/>
      <w:jc w:val="left"/>
    </w:pPr>
  </w:style>
  <w:style w:type="paragraph" w:customStyle="1" w:styleId="228">
    <w:name w:val="日期1"/>
    <w:basedOn w:val="1"/>
    <w:next w:val="1"/>
    <w:link w:val="229"/>
    <w:qFormat/>
    <w:uiPriority w:val="0"/>
    <w:rPr>
      <w:sz w:val="24"/>
      <w:szCs w:val="24"/>
    </w:rPr>
  </w:style>
  <w:style w:type="character" w:customStyle="1" w:styleId="229">
    <w:name w:val="日期 Char"/>
    <w:link w:val="228"/>
    <w:qFormat/>
    <w:uiPriority w:val="0"/>
    <w:rPr>
      <w:rFonts w:ascii="Times New Roman" w:hAnsi="Times New Roman" w:eastAsia="宋体" w:cs="Times New Roman"/>
      <w:sz w:val="24"/>
      <w:szCs w:val="24"/>
    </w:rPr>
  </w:style>
  <w:style w:type="paragraph" w:customStyle="1" w:styleId="230">
    <w:name w:val="正文文本缩进 21"/>
    <w:basedOn w:val="1"/>
    <w:link w:val="231"/>
    <w:qFormat/>
    <w:uiPriority w:val="0"/>
    <w:pPr>
      <w:ind w:left="630" w:firstLine="645"/>
    </w:pPr>
    <w:rPr>
      <w:rFonts w:ascii="Arial" w:hAnsi="Arial" w:eastAsia="仿宋_GB2312" w:cs="Arial"/>
      <w:sz w:val="32"/>
      <w:szCs w:val="32"/>
    </w:rPr>
  </w:style>
  <w:style w:type="character" w:customStyle="1" w:styleId="231">
    <w:name w:val="正文文本缩进 2 Char"/>
    <w:link w:val="230"/>
    <w:qFormat/>
    <w:uiPriority w:val="0"/>
    <w:rPr>
      <w:rFonts w:ascii="Arial" w:hAnsi="Arial" w:eastAsia="仿宋_GB2312" w:cs="Arial"/>
      <w:sz w:val="32"/>
      <w:szCs w:val="32"/>
    </w:rPr>
  </w:style>
  <w:style w:type="paragraph" w:customStyle="1" w:styleId="232">
    <w:name w:val="批注框文本1"/>
    <w:basedOn w:val="1"/>
    <w:link w:val="233"/>
    <w:semiHidden/>
    <w:qFormat/>
    <w:uiPriority w:val="0"/>
    <w:rPr>
      <w:sz w:val="18"/>
      <w:szCs w:val="18"/>
    </w:rPr>
  </w:style>
  <w:style w:type="character" w:customStyle="1" w:styleId="233">
    <w:name w:val="批注框文本 Char"/>
    <w:link w:val="232"/>
    <w:semiHidden/>
    <w:qFormat/>
    <w:uiPriority w:val="0"/>
    <w:rPr>
      <w:rFonts w:ascii="Times New Roman" w:hAnsi="Times New Roman" w:eastAsia="宋体" w:cs="Times New Roman"/>
      <w:sz w:val="18"/>
      <w:szCs w:val="18"/>
    </w:rPr>
  </w:style>
  <w:style w:type="paragraph" w:customStyle="1" w:styleId="234">
    <w:name w:val="页脚1"/>
    <w:basedOn w:val="1"/>
    <w:link w:val="235"/>
    <w:qFormat/>
    <w:uiPriority w:val="0"/>
    <w:pPr>
      <w:tabs>
        <w:tab w:val="center" w:pos="4153"/>
        <w:tab w:val="right" w:pos="8306"/>
      </w:tabs>
      <w:jc w:val="left"/>
    </w:pPr>
    <w:rPr>
      <w:sz w:val="18"/>
      <w:szCs w:val="18"/>
    </w:rPr>
  </w:style>
  <w:style w:type="character" w:customStyle="1" w:styleId="235">
    <w:name w:val="页脚 Char"/>
    <w:link w:val="234"/>
    <w:qFormat/>
    <w:uiPriority w:val="0"/>
    <w:rPr>
      <w:rFonts w:ascii="Times New Roman" w:hAnsi="Times New Roman" w:eastAsia="宋体" w:cs="Times New Roman"/>
      <w:sz w:val="18"/>
      <w:szCs w:val="18"/>
    </w:rPr>
  </w:style>
  <w:style w:type="paragraph" w:customStyle="1" w:styleId="236">
    <w:name w:val="页眉1"/>
    <w:basedOn w:val="1"/>
    <w:link w:val="237"/>
    <w:qFormat/>
    <w:uiPriority w:val="0"/>
    <w:pPr>
      <w:pBdr>
        <w:bottom w:val="single" w:color="000000" w:sz="6" w:space="1"/>
      </w:pBdr>
      <w:tabs>
        <w:tab w:val="center" w:pos="4153"/>
        <w:tab w:val="right" w:pos="8306"/>
      </w:tabs>
      <w:jc w:val="center"/>
    </w:pPr>
    <w:rPr>
      <w:sz w:val="18"/>
      <w:szCs w:val="18"/>
    </w:rPr>
  </w:style>
  <w:style w:type="character" w:customStyle="1" w:styleId="237">
    <w:name w:val="页眉 Char"/>
    <w:link w:val="236"/>
    <w:qFormat/>
    <w:uiPriority w:val="0"/>
    <w:rPr>
      <w:rFonts w:ascii="Times New Roman" w:hAnsi="Times New Roman" w:eastAsia="宋体" w:cs="Times New Roman"/>
      <w:sz w:val="18"/>
      <w:szCs w:val="18"/>
    </w:rPr>
  </w:style>
  <w:style w:type="paragraph" w:customStyle="1" w:styleId="238">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39">
    <w:name w:val="目录 41"/>
    <w:basedOn w:val="1"/>
    <w:next w:val="1"/>
    <w:semiHidden/>
    <w:qFormat/>
    <w:uiPriority w:val="0"/>
    <w:pPr>
      <w:ind w:left="630"/>
      <w:jc w:val="left"/>
    </w:pPr>
  </w:style>
  <w:style w:type="paragraph" w:customStyle="1" w:styleId="240">
    <w:name w:val="列表1"/>
    <w:basedOn w:val="1"/>
    <w:qFormat/>
    <w:uiPriority w:val="0"/>
    <w:pPr>
      <w:ind w:left="200" w:hanging="200"/>
    </w:pPr>
  </w:style>
  <w:style w:type="paragraph" w:customStyle="1" w:styleId="241">
    <w:name w:val="目录 61"/>
    <w:basedOn w:val="1"/>
    <w:next w:val="1"/>
    <w:semiHidden/>
    <w:qFormat/>
    <w:uiPriority w:val="0"/>
    <w:pPr>
      <w:ind w:left="1050"/>
      <w:jc w:val="left"/>
    </w:pPr>
  </w:style>
  <w:style w:type="paragraph" w:customStyle="1" w:styleId="242">
    <w:name w:val="正文文本缩进 31"/>
    <w:basedOn w:val="1"/>
    <w:link w:val="243"/>
    <w:qFormat/>
    <w:uiPriority w:val="0"/>
    <w:pPr>
      <w:ind w:left="645" w:firstLine="645"/>
    </w:pPr>
    <w:rPr>
      <w:rFonts w:ascii="Arial" w:hAnsi="Arial" w:eastAsia="仿宋_GB2312" w:cs="Arial"/>
      <w:color w:val="FFFF00"/>
      <w:sz w:val="32"/>
      <w:szCs w:val="32"/>
    </w:rPr>
  </w:style>
  <w:style w:type="character" w:customStyle="1" w:styleId="243">
    <w:name w:val="正文文本缩进 3 Char"/>
    <w:link w:val="242"/>
    <w:qFormat/>
    <w:uiPriority w:val="0"/>
    <w:rPr>
      <w:rFonts w:ascii="Arial" w:hAnsi="Arial" w:eastAsia="仿宋_GB2312" w:cs="Arial"/>
      <w:color w:val="FFFF00"/>
      <w:sz w:val="32"/>
      <w:szCs w:val="32"/>
    </w:rPr>
  </w:style>
  <w:style w:type="paragraph" w:customStyle="1" w:styleId="244">
    <w:name w:val="图表目录1"/>
    <w:basedOn w:val="1"/>
    <w:next w:val="1"/>
    <w:semiHidden/>
    <w:qFormat/>
    <w:uiPriority w:val="0"/>
    <w:pPr>
      <w:ind w:left="840" w:hanging="420"/>
    </w:pPr>
  </w:style>
  <w:style w:type="paragraph" w:customStyle="1" w:styleId="245">
    <w:name w:val="目录 21"/>
    <w:basedOn w:val="1"/>
    <w:next w:val="1"/>
    <w:semiHidden/>
    <w:qFormat/>
    <w:uiPriority w:val="0"/>
    <w:pPr>
      <w:ind w:left="210"/>
      <w:jc w:val="left"/>
    </w:pPr>
    <w:rPr>
      <w:smallCaps/>
      <w:szCs w:val="24"/>
    </w:rPr>
  </w:style>
  <w:style w:type="paragraph" w:customStyle="1" w:styleId="246">
    <w:name w:val="目录 91"/>
    <w:basedOn w:val="1"/>
    <w:next w:val="1"/>
    <w:semiHidden/>
    <w:qFormat/>
    <w:uiPriority w:val="0"/>
    <w:pPr>
      <w:ind w:left="1680"/>
      <w:jc w:val="left"/>
    </w:pPr>
  </w:style>
  <w:style w:type="paragraph" w:customStyle="1" w:styleId="247">
    <w:name w:val="正文文本 21"/>
    <w:basedOn w:val="1"/>
    <w:link w:val="248"/>
    <w:qFormat/>
    <w:uiPriority w:val="0"/>
    <w:pPr>
      <w:widowControl/>
      <w:jc w:val="center"/>
    </w:pPr>
    <w:rPr>
      <w:rFonts w:ascii="楷体_GB2312" w:eastAsia="楷体_GB2312"/>
      <w:sz w:val="28"/>
      <w:szCs w:val="28"/>
    </w:rPr>
  </w:style>
  <w:style w:type="character" w:customStyle="1" w:styleId="248">
    <w:name w:val="正文文本 2 Char"/>
    <w:link w:val="247"/>
    <w:qFormat/>
    <w:uiPriority w:val="0"/>
    <w:rPr>
      <w:rFonts w:ascii="楷体_GB2312" w:hAnsi="Times New Roman" w:eastAsia="楷体_GB2312" w:cs="Times New Roman"/>
      <w:sz w:val="28"/>
      <w:szCs w:val="28"/>
    </w:rPr>
  </w:style>
  <w:style w:type="paragraph" w:customStyle="1" w:styleId="249">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0">
    <w:name w:val="索引 11"/>
    <w:basedOn w:val="1"/>
    <w:next w:val="1"/>
    <w:semiHidden/>
    <w:qFormat/>
    <w:uiPriority w:val="0"/>
    <w:pPr>
      <w:spacing w:line="240" w:lineRule="atLeast"/>
    </w:pPr>
    <w:rPr>
      <w:b/>
      <w:bCs/>
    </w:rPr>
  </w:style>
  <w:style w:type="paragraph" w:customStyle="1" w:styleId="251">
    <w:name w:val="批注主题1"/>
    <w:basedOn w:val="213"/>
    <w:next w:val="213"/>
    <w:link w:val="252"/>
    <w:semiHidden/>
    <w:qFormat/>
    <w:uiPriority w:val="0"/>
    <w:rPr>
      <w:b/>
      <w:bCs/>
    </w:rPr>
  </w:style>
  <w:style w:type="character" w:customStyle="1" w:styleId="252">
    <w:name w:val="批注主题 Char"/>
    <w:link w:val="251"/>
    <w:semiHidden/>
    <w:qFormat/>
    <w:uiPriority w:val="0"/>
    <w:rPr>
      <w:rFonts w:ascii="Times New Roman" w:hAnsi="Times New Roman" w:eastAsia="宋体" w:cs="Times New Roman"/>
      <w:b/>
      <w:bCs/>
      <w:szCs w:val="21"/>
    </w:rPr>
  </w:style>
  <w:style w:type="paragraph" w:customStyle="1" w:styleId="253">
    <w:name w:val="正文首行缩进11"/>
    <w:basedOn w:val="1"/>
    <w:link w:val="254"/>
    <w:qFormat/>
    <w:uiPriority w:val="0"/>
    <w:pPr>
      <w:spacing w:line="360" w:lineRule="auto"/>
      <w:ind w:firstLine="200"/>
    </w:pPr>
    <w:rPr>
      <w:rFonts w:ascii="仿宋_GB2312" w:eastAsia="仿宋_GB2312"/>
      <w:sz w:val="30"/>
      <w:szCs w:val="30"/>
    </w:rPr>
  </w:style>
  <w:style w:type="character" w:customStyle="1" w:styleId="254">
    <w:name w:val="正文首行缩进 Char"/>
    <w:link w:val="253"/>
    <w:qFormat/>
    <w:uiPriority w:val="0"/>
    <w:rPr>
      <w:rFonts w:ascii="仿宋_GB2312" w:hAnsi="Times New Roman" w:eastAsia="仿宋_GB2312" w:cs="Times New Roman"/>
      <w:sz w:val="30"/>
      <w:szCs w:val="30"/>
    </w:rPr>
  </w:style>
  <w:style w:type="paragraph" w:customStyle="1" w:styleId="255">
    <w:name w:val="正文首行缩进 21"/>
    <w:basedOn w:val="219"/>
    <w:link w:val="256"/>
    <w:qFormat/>
    <w:uiPriority w:val="0"/>
    <w:pPr>
      <w:spacing w:line="360" w:lineRule="auto"/>
      <w:ind w:firstLine="420"/>
    </w:pPr>
    <w:rPr>
      <w:rFonts w:ascii="宋体" w:hAnsi="宋体" w:eastAsia="宋体"/>
      <w:sz w:val="21"/>
      <w:szCs w:val="20"/>
    </w:rPr>
  </w:style>
  <w:style w:type="character" w:customStyle="1" w:styleId="256">
    <w:name w:val="正文首行缩进 2 Char"/>
    <w:link w:val="255"/>
    <w:qFormat/>
    <w:uiPriority w:val="0"/>
    <w:rPr>
      <w:rFonts w:ascii="宋体" w:hAnsi="宋体" w:eastAsia="宋体" w:cs="Times New Roman"/>
      <w:sz w:val="32"/>
      <w:szCs w:val="20"/>
    </w:rPr>
  </w:style>
  <w:style w:type="table" w:customStyle="1" w:styleId="257">
    <w:name w:val="网格型1"/>
    <w:basedOn w:val="198"/>
    <w:qFormat/>
    <w:uiPriority w:val="0"/>
    <w:pPr>
      <w:widowControl w:val="0"/>
      <w:jc w:val="both"/>
    </w:pPr>
    <w:tblPr>
      <w:tblCellMar>
        <w:top w:w="0" w:type="dxa"/>
        <w:left w:w="0" w:type="dxa"/>
        <w:bottom w:w="0" w:type="dxa"/>
        <w:right w:w="0" w:type="dxa"/>
      </w:tblCellMar>
    </w:tblPr>
  </w:style>
  <w:style w:type="character" w:customStyle="1" w:styleId="258">
    <w:name w:val="要点1"/>
    <w:qFormat/>
    <w:uiPriority w:val="0"/>
    <w:rPr>
      <w:b/>
      <w:bCs/>
    </w:rPr>
  </w:style>
  <w:style w:type="character" w:customStyle="1" w:styleId="259">
    <w:name w:val="页码1"/>
    <w:qFormat/>
    <w:uiPriority w:val="0"/>
  </w:style>
  <w:style w:type="character" w:customStyle="1" w:styleId="260">
    <w:name w:val="已访问的超链接1"/>
    <w:qFormat/>
    <w:uiPriority w:val="0"/>
    <w:rPr>
      <w:color w:val="800080"/>
      <w:u w:val="single"/>
    </w:rPr>
  </w:style>
  <w:style w:type="character" w:customStyle="1" w:styleId="261">
    <w:name w:val="超链接1"/>
    <w:qFormat/>
    <w:uiPriority w:val="0"/>
    <w:rPr>
      <w:color w:val="0000FF"/>
      <w:u w:val="single"/>
    </w:rPr>
  </w:style>
  <w:style w:type="character" w:customStyle="1" w:styleId="262">
    <w:name w:val="批注引用1"/>
    <w:semiHidden/>
    <w:qFormat/>
    <w:uiPriority w:val="0"/>
    <w:rPr>
      <w:sz w:val="21"/>
      <w:szCs w:val="21"/>
    </w:rPr>
  </w:style>
  <w:style w:type="paragraph" w:customStyle="1" w:styleId="263">
    <w:name w:val="正文空2字"/>
    <w:basedOn w:val="264"/>
    <w:qFormat/>
    <w:uiPriority w:val="99"/>
    <w:pPr>
      <w:widowControl w:val="0"/>
      <w:spacing w:line="560" w:lineRule="exact"/>
      <w:ind w:firstLine="640"/>
    </w:pPr>
    <w:rPr>
      <w:rFonts w:ascii="仿宋_GB2312" w:hAnsi="仿宋_GB2312" w:cs="仿宋_GB2312"/>
      <w:lang w:val="zh-TW"/>
    </w:rPr>
  </w:style>
  <w:style w:type="paragraph" w:customStyle="1" w:styleId="264">
    <w:name w:val="左对齐正文"/>
    <w:qFormat/>
    <w:uiPriority w:val="99"/>
    <w:rPr>
      <w:rFonts w:ascii="Calibri" w:hAnsi="Calibri" w:eastAsia="仿宋_GB2312" w:cs="Calibri"/>
      <w:sz w:val="32"/>
      <w:szCs w:val="32"/>
      <w:lang w:val="en-US" w:eastAsia="zh-CN" w:bidi="ar-SA"/>
    </w:rPr>
  </w:style>
  <w:style w:type="paragraph" w:customStyle="1" w:styleId="265">
    <w:name w:val="索引 41"/>
    <w:basedOn w:val="1"/>
    <w:next w:val="1"/>
    <w:semiHidden/>
    <w:qFormat/>
    <w:uiPriority w:val="0"/>
    <w:pPr>
      <w:ind w:left="1260"/>
    </w:pPr>
    <w:rPr>
      <w:rFonts w:ascii="Calibri" w:hAnsi="Calibri" w:eastAsia="Calibri" w:cs="宋体"/>
      <w:sz w:val="20"/>
      <w:lang w:val="zh-CN"/>
    </w:rPr>
  </w:style>
  <w:style w:type="character" w:customStyle="1" w:styleId="266">
    <w:name w:val="font5 Char"/>
    <w:qFormat/>
    <w:uiPriority w:val="0"/>
    <w:rPr>
      <w:rFonts w:ascii="宋体" w:hAnsi="宋体" w:eastAsia="宋体"/>
      <w:sz w:val="28"/>
      <w:szCs w:val="28"/>
      <w:lang w:val="en-US" w:eastAsia="zh-CN" w:bidi="ar-SA"/>
    </w:rPr>
  </w:style>
  <w:style w:type="character" w:customStyle="1" w:styleId="267">
    <w:name w:val="二级目录 Char"/>
    <w:link w:val="268"/>
    <w:qFormat/>
    <w:uiPriority w:val="0"/>
    <w:rPr>
      <w:b/>
      <w:sz w:val="30"/>
      <w:szCs w:val="28"/>
    </w:rPr>
  </w:style>
  <w:style w:type="paragraph" w:customStyle="1" w:styleId="268">
    <w:name w:val="二级目录"/>
    <w:next w:val="1"/>
    <w:link w:val="267"/>
    <w:qFormat/>
    <w:uiPriority w:val="0"/>
    <w:pPr>
      <w:tabs>
        <w:tab w:val="left" w:pos="907"/>
        <w:tab w:val="left" w:pos="1145"/>
      </w:tabs>
      <w:ind w:left="907" w:hanging="907"/>
      <w:outlineLvl w:val="1"/>
    </w:pPr>
    <w:rPr>
      <w:rFonts w:ascii="Times New Roman" w:hAnsi="Times New Roman" w:eastAsia="宋体" w:cs="Times New Roman"/>
      <w:b/>
      <w:sz w:val="30"/>
      <w:szCs w:val="28"/>
      <w:lang w:val="en-US" w:eastAsia="zh-CN" w:bidi="ar-SA"/>
    </w:rPr>
  </w:style>
  <w:style w:type="character" w:customStyle="1" w:styleId="269">
    <w:name w:val="列出段落 Char"/>
    <w:link w:val="270"/>
    <w:qFormat/>
    <w:uiPriority w:val="0"/>
    <w:rPr>
      <w:rFonts w:ascii="Calibri" w:hAnsi="Calibri"/>
      <w:sz w:val="24"/>
      <w:szCs w:val="24"/>
      <w:lang w:eastAsia="en-US" w:bidi="en-US"/>
    </w:rPr>
  </w:style>
  <w:style w:type="paragraph" w:customStyle="1" w:styleId="270">
    <w:name w:val="列出段落1"/>
    <w:basedOn w:val="1"/>
    <w:link w:val="269"/>
    <w:qFormat/>
    <w:uiPriority w:val="0"/>
    <w:pPr>
      <w:widowControl/>
      <w:ind w:left="720"/>
      <w:contextualSpacing/>
      <w:jc w:val="left"/>
    </w:pPr>
    <w:rPr>
      <w:rFonts w:ascii="Calibri" w:hAnsi="Calibri"/>
      <w:sz w:val="24"/>
      <w:szCs w:val="24"/>
      <w:lang w:eastAsia="en-US" w:bidi="en-US"/>
    </w:rPr>
  </w:style>
  <w:style w:type="paragraph" w:customStyle="1" w:styleId="271">
    <w:name w:val="Body Text(ch)"/>
    <w:basedOn w:val="1"/>
    <w:next w:val="217"/>
    <w:qFormat/>
    <w:uiPriority w:val="0"/>
    <w:pPr>
      <w:spacing w:after="120"/>
    </w:pPr>
    <w:rPr>
      <w:rFonts w:ascii="宋体" w:hAnsi="Arial"/>
      <w:bCs/>
      <w:iCs/>
      <w:szCs w:val="24"/>
    </w:rPr>
  </w:style>
  <w:style w:type="paragraph" w:customStyle="1" w:styleId="272">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74">
    <w:name w:val="Char"/>
    <w:basedOn w:val="1"/>
    <w:qFormat/>
    <w:uiPriority w:val="0"/>
    <w:pPr>
      <w:tabs>
        <w:tab w:val="left" w:pos="360"/>
      </w:tabs>
      <w:ind w:firstLine="200"/>
    </w:pPr>
    <w:rPr>
      <w:sz w:val="28"/>
      <w:szCs w:val="30"/>
    </w:rPr>
  </w:style>
  <w:style w:type="paragraph" w:customStyle="1" w:styleId="275">
    <w:name w:val="Char1"/>
    <w:basedOn w:val="211"/>
    <w:qFormat/>
    <w:uiPriority w:val="0"/>
    <w:rPr>
      <w:rFonts w:ascii="Tahoma" w:hAnsi="Tahoma"/>
      <w:sz w:val="24"/>
      <w:szCs w:val="24"/>
    </w:rPr>
  </w:style>
  <w:style w:type="paragraph" w:customStyle="1" w:styleId="276">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7">
    <w:name w:val="table_lines"/>
    <w:basedOn w:val="1"/>
    <w:qFormat/>
    <w:uiPriority w:val="0"/>
    <w:pPr>
      <w:widowControl/>
      <w:jc w:val="left"/>
    </w:pPr>
    <w:rPr>
      <w:sz w:val="20"/>
      <w:szCs w:val="20"/>
      <w:lang w:val="de-DE" w:eastAsia="de-DE"/>
    </w:rPr>
  </w:style>
  <w:style w:type="paragraph" w:customStyle="1" w:styleId="278">
    <w:name w:val="附录1"/>
    <w:qFormat/>
    <w:uiPriority w:val="0"/>
    <w:pPr>
      <w:numPr>
        <w:ilvl w:val="0"/>
        <w:numId w:val="2"/>
      </w:numPr>
      <w:spacing w:before="240" w:line="600" w:lineRule="atLeast"/>
    </w:pPr>
    <w:rPr>
      <w:rFonts w:ascii="Times New Roman" w:hAnsi="Times New Roman" w:eastAsia="宋体" w:cs="Times New Roman"/>
      <w:b/>
      <w:i/>
      <w:sz w:val="28"/>
      <w:lang w:val="en-US" w:eastAsia="zh-CN" w:bidi="ar-SA"/>
    </w:rPr>
  </w:style>
  <w:style w:type="paragraph" w:customStyle="1" w:styleId="279">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80">
    <w:name w:val="Char Char Char Char"/>
    <w:basedOn w:val="211"/>
    <w:qFormat/>
    <w:uiPriority w:val="0"/>
    <w:pPr>
      <w:spacing w:line="360" w:lineRule="auto"/>
    </w:pPr>
    <w:rPr>
      <w:rFonts w:ascii="Tahoma" w:hAnsi="Tahoma"/>
      <w:sz w:val="24"/>
      <w:szCs w:val="24"/>
    </w:rPr>
  </w:style>
  <w:style w:type="paragraph" w:customStyle="1" w:styleId="281">
    <w:name w:val="列出段落2"/>
    <w:basedOn w:val="1"/>
    <w:qFormat/>
    <w:uiPriority w:val="0"/>
    <w:pPr>
      <w:widowControl/>
      <w:ind w:left="720"/>
      <w:contextualSpacing/>
      <w:jc w:val="left"/>
    </w:pPr>
    <w:rPr>
      <w:rFonts w:ascii="Calibri" w:hAnsi="Calibri"/>
      <w:sz w:val="24"/>
      <w:szCs w:val="24"/>
      <w:lang w:eastAsia="en-US" w:bidi="en-US"/>
    </w:rPr>
  </w:style>
  <w:style w:type="paragraph" w:customStyle="1" w:styleId="282">
    <w:name w:val="4"/>
    <w:basedOn w:val="1"/>
    <w:next w:val="242"/>
    <w:qFormat/>
    <w:uiPriority w:val="0"/>
    <w:pPr>
      <w:spacing w:line="360" w:lineRule="auto"/>
      <w:ind w:firstLine="420"/>
    </w:pPr>
    <w:rPr>
      <w:color w:val="FF0000"/>
      <w:sz w:val="24"/>
      <w:szCs w:val="24"/>
    </w:rPr>
  </w:style>
  <w:style w:type="paragraph" w:customStyle="1" w:styleId="283">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84">
    <w:name w:val="Char Char Char Char Char Char Char Char Char Char"/>
    <w:basedOn w:val="1"/>
    <w:qFormat/>
    <w:uiPriority w:val="0"/>
    <w:pPr>
      <w:spacing w:line="360" w:lineRule="auto"/>
    </w:pPr>
    <w:rPr>
      <w:sz w:val="24"/>
      <w:szCs w:val="20"/>
    </w:rPr>
  </w:style>
  <w:style w:type="paragraph" w:customStyle="1" w:styleId="285">
    <w:name w:val="样式1"/>
    <w:basedOn w:val="1"/>
    <w:qFormat/>
    <w:uiPriority w:val="0"/>
    <w:pPr>
      <w:numPr>
        <w:ilvl w:val="0"/>
        <w:numId w:val="3"/>
      </w:numPr>
    </w:pPr>
    <w:rPr>
      <w:rFonts w:ascii="宋体" w:hAnsi="宋体"/>
    </w:rPr>
  </w:style>
  <w:style w:type="paragraph" w:customStyle="1" w:styleId="286">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87">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8">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89">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90">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91">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2">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3">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4">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95">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96">
    <w:name w:val="Char Char Char Char1"/>
    <w:basedOn w:val="211"/>
    <w:qFormat/>
    <w:uiPriority w:val="0"/>
    <w:pPr>
      <w:spacing w:line="360" w:lineRule="auto"/>
    </w:pPr>
    <w:rPr>
      <w:rFonts w:ascii="Tahoma" w:hAnsi="Tahoma"/>
      <w:sz w:val="24"/>
      <w:szCs w:val="24"/>
    </w:rPr>
  </w:style>
  <w:style w:type="paragraph" w:customStyle="1" w:styleId="297">
    <w:name w:val="table_1stline"/>
    <w:basedOn w:val="1"/>
    <w:qFormat/>
    <w:uiPriority w:val="0"/>
    <w:pPr>
      <w:widowControl/>
      <w:spacing w:before="120"/>
      <w:jc w:val="left"/>
    </w:pPr>
    <w:rPr>
      <w:bCs/>
      <w:sz w:val="20"/>
      <w:szCs w:val="20"/>
      <w:lang w:val="de-DE" w:eastAsia="de-DE"/>
    </w:rPr>
  </w:style>
  <w:style w:type="paragraph" w:customStyle="1" w:styleId="298">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99">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0">
    <w:name w:val="修订1"/>
    <w:semiHidden/>
    <w:qFormat/>
    <w:uiPriority w:val="99"/>
    <w:rPr>
      <w:rFonts w:ascii="Times New Roman" w:hAnsi="Times New Roman" w:eastAsia="宋体" w:cs="Times New Roman"/>
      <w:sz w:val="21"/>
      <w:szCs w:val="21"/>
      <w:lang w:val="en-US" w:eastAsia="zh-CN" w:bidi="ar-SA"/>
    </w:rPr>
  </w:style>
  <w:style w:type="paragraph" w:customStyle="1" w:styleId="301">
    <w:name w:val="无间隔1"/>
    <w:qFormat/>
    <w:uiPriority w:val="99"/>
    <w:pPr>
      <w:widowControl w:val="0"/>
      <w:jc w:val="both"/>
    </w:pPr>
    <w:rPr>
      <w:rFonts w:ascii="Times New Roman" w:hAnsi="Times New Roman" w:eastAsia="宋体" w:cs="Times New Roman"/>
      <w:sz w:val="21"/>
      <w:szCs w:val="21"/>
      <w:lang w:val="en-US" w:eastAsia="zh-CN" w:bidi="ar-SA"/>
    </w:rPr>
  </w:style>
  <w:style w:type="table" w:customStyle="1" w:styleId="302">
    <w:name w:val="Table Normal"/>
    <w:qFormat/>
    <w:uiPriority w:val="0"/>
    <w:tblPr>
      <w:tblCellMar>
        <w:top w:w="0" w:type="dxa"/>
        <w:left w:w="0" w:type="dxa"/>
        <w:bottom w:w="0" w:type="dxa"/>
        <w:right w:w="0" w:type="dxa"/>
      </w:tblCellMar>
    </w:tblPr>
  </w:style>
  <w:style w:type="paragraph" w:customStyle="1" w:styleId="303">
    <w:name w:val="Normal_5_0"/>
    <w:qFormat/>
    <w:uiPriority w:val="0"/>
    <w:pPr>
      <w:widowControl w:val="0"/>
      <w:jc w:val="both"/>
    </w:pPr>
    <w:rPr>
      <w:rFonts w:ascii="Calibri" w:hAnsi="Calibri" w:eastAsia="宋体" w:cs="Times New Roman"/>
      <w:sz w:val="21"/>
      <w:szCs w:val="22"/>
      <w:lang w:val="en-US" w:eastAsia="zh-CN" w:bidi="ar-SA"/>
    </w:rPr>
  </w:style>
  <w:style w:type="paragraph" w:customStyle="1" w:styleId="304">
    <w:name w:val="Normal_6_0"/>
    <w:qFormat/>
    <w:uiPriority w:val="0"/>
    <w:rPr>
      <w:rFonts w:ascii="黑体" w:hAnsi="黑体" w:eastAsia="黑体" w:cs="黑体"/>
      <w:b/>
      <w:sz w:val="32"/>
      <w:szCs w:val="24"/>
      <w:lang w:val="en-US" w:eastAsia="zh-CN" w:bidi="ar-SA"/>
    </w:rPr>
  </w:style>
  <w:style w:type="paragraph" w:customStyle="1" w:styleId="305">
    <w:name w:val="Normal_1_2"/>
    <w:qFormat/>
    <w:uiPriority w:val="0"/>
    <w:rPr>
      <w:rFonts w:ascii="Times New Roman" w:hAnsi="Times New Roman" w:eastAsia="Times New Roman" w:cs="Times New Roman"/>
      <w:sz w:val="24"/>
      <w:szCs w:val="24"/>
      <w:lang w:val="en-US" w:eastAsia="zh-CN" w:bidi="ar-SA"/>
    </w:rPr>
  </w:style>
  <w:style w:type="paragraph" w:customStyle="1" w:styleId="306">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307">
    <w:name w:val="正文文本12"/>
    <w:basedOn w:val="1"/>
    <w:qFormat/>
    <w:uiPriority w:val="1"/>
    <w:pPr>
      <w:ind w:left="120"/>
    </w:pPr>
    <w:rPr>
      <w:rFonts w:ascii="宋体" w:hAnsi="宋体" w:cs="宋体"/>
      <w:lang w:val="zh-CN" w:bidi="zh-CN"/>
    </w:rPr>
  </w:style>
  <w:style w:type="paragraph" w:customStyle="1" w:styleId="308">
    <w:name w:val="正文2"/>
    <w:basedOn w:val="1"/>
    <w:qFormat/>
    <w:uiPriority w:val="0"/>
    <w:pPr>
      <w:spacing w:before="156" w:line="360" w:lineRule="auto"/>
      <w:ind w:firstLine="510"/>
    </w:pPr>
    <w:rPr>
      <w:sz w:val="24"/>
      <w:szCs w:val="20"/>
    </w:rPr>
  </w:style>
  <w:style w:type="paragraph" w:customStyle="1" w:styleId="309">
    <w:name w:val="首行缩进"/>
    <w:basedOn w:val="1"/>
    <w:qFormat/>
    <w:uiPriority w:val="0"/>
    <w:pPr>
      <w:ind w:firstLine="480"/>
    </w:pPr>
    <w:rPr>
      <w:lang w:val="zh-CN"/>
    </w:rPr>
  </w:style>
  <w:style w:type="paragraph" w:customStyle="1" w:styleId="310">
    <w:name w:val="Normal_18_0"/>
    <w:qFormat/>
    <w:uiPriority w:val="0"/>
    <w:rPr>
      <w:rFonts w:ascii="黑体" w:hAnsi="黑体" w:eastAsia="黑体" w:cs="黑体"/>
      <w:b/>
      <w:sz w:val="32"/>
      <w:szCs w:val="24"/>
      <w:lang w:val="en-US" w:eastAsia="zh-CN" w:bidi="ar-SA"/>
    </w:rPr>
  </w:style>
  <w:style w:type="paragraph" w:customStyle="1" w:styleId="311">
    <w:name w:val="正文_12_0_0_0_0"/>
    <w:basedOn w:val="1"/>
    <w:qFormat/>
    <w:uiPriority w:val="0"/>
    <w:rPr>
      <w:szCs w:val="24"/>
    </w:rPr>
  </w:style>
  <w:style w:type="paragraph" w:customStyle="1" w:styleId="312">
    <w:name w:val="正文_12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13">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314">
    <w:name w:val="正文_14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15">
    <w:name w:val="Normal_20"/>
    <w:qFormat/>
    <w:uiPriority w:val="0"/>
    <w:rPr>
      <w:rFonts w:ascii="黑体" w:hAnsi="黑体" w:eastAsia="黑体" w:cs="黑体"/>
      <w:b/>
      <w:sz w:val="32"/>
      <w:szCs w:val="24"/>
      <w:lang w:val="en-US" w:eastAsia="zh-CN" w:bidi="ar-SA"/>
    </w:rPr>
  </w:style>
  <w:style w:type="paragraph" w:customStyle="1" w:styleId="316">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317">
    <w:name w:val="Normal_0"/>
    <w:qFormat/>
    <w:uiPriority w:val="0"/>
    <w:rPr>
      <w:rFonts w:ascii="黑体" w:hAnsi="黑体" w:eastAsia="黑体" w:cs="Times New Roman"/>
      <w:b/>
      <w:sz w:val="32"/>
      <w:szCs w:val="24"/>
      <w:lang w:val="en-US" w:eastAsia="zh-CN" w:bidi="ar-SA"/>
    </w:rPr>
  </w:style>
  <w:style w:type="paragraph" w:customStyle="1" w:styleId="318">
    <w:name w:val="部分1"/>
    <w:basedOn w:val="1"/>
    <w:qFormat/>
    <w:uiPriority w:val="0"/>
    <w:pPr>
      <w:keepNext/>
      <w:pageBreakBefore/>
      <w:tabs>
        <w:tab w:val="left" w:pos="720"/>
      </w:tabs>
      <w:spacing w:line="360" w:lineRule="auto"/>
      <w:jc w:val="center"/>
      <w:outlineLvl w:val="0"/>
    </w:pPr>
    <w:rPr>
      <w:rFonts w:eastAsia="黑体"/>
      <w:b/>
      <w:sz w:val="36"/>
      <w:szCs w:val="20"/>
    </w:rPr>
  </w:style>
  <w:style w:type="paragraph" w:customStyle="1" w:styleId="319">
    <w:name w:val="Normal_12_0"/>
    <w:qFormat/>
    <w:uiPriority w:val="0"/>
    <w:pPr>
      <w:widowControl w:val="0"/>
      <w:jc w:val="both"/>
    </w:pPr>
    <w:rPr>
      <w:rFonts w:ascii="Calibri" w:hAnsi="Calibri" w:eastAsia="宋体" w:cs="Times New Roman"/>
      <w:sz w:val="21"/>
      <w:szCs w:val="22"/>
      <w:lang w:val="en-US" w:eastAsia="zh-CN" w:bidi="ar-SA"/>
    </w:rPr>
  </w:style>
  <w:style w:type="paragraph" w:customStyle="1" w:styleId="320">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321">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322">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323">
    <w:name w:val="列出段落_2"/>
    <w:basedOn w:val="321"/>
    <w:qFormat/>
    <w:uiPriority w:val="34"/>
    <w:pPr>
      <w:ind w:firstLine="420"/>
    </w:pPr>
  </w:style>
  <w:style w:type="paragraph" w:customStyle="1" w:styleId="324">
    <w:name w:val="Normal_13_0"/>
    <w:qFormat/>
    <w:uiPriority w:val="0"/>
    <w:rPr>
      <w:rFonts w:ascii="黑体" w:hAnsi="黑体" w:eastAsia="黑体" w:cs="黑体"/>
      <w:b/>
      <w:sz w:val="32"/>
      <w:szCs w:val="24"/>
      <w:lang w:val="en-US" w:eastAsia="zh-CN" w:bidi="ar-SA"/>
    </w:rPr>
  </w:style>
  <w:style w:type="paragraph" w:customStyle="1" w:styleId="325">
    <w:name w:val="正文_16_0_0"/>
    <w:next w:val="326"/>
    <w:qFormat/>
    <w:uiPriority w:val="0"/>
    <w:pPr>
      <w:widowControl w:val="0"/>
      <w:jc w:val="both"/>
    </w:pPr>
    <w:rPr>
      <w:rFonts w:ascii="Calibri" w:hAnsi="Calibri" w:eastAsia="宋体" w:cs="Times New Roman"/>
      <w:sz w:val="21"/>
      <w:szCs w:val="22"/>
      <w:lang w:val="en-US" w:eastAsia="zh-CN" w:bidi="ar-SA"/>
    </w:rPr>
  </w:style>
  <w:style w:type="paragraph" w:customStyle="1" w:styleId="326">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327">
    <w:name w:val="正文首行缩进1"/>
    <w:basedOn w:val="328"/>
    <w:qFormat/>
    <w:uiPriority w:val="0"/>
    <w:pPr>
      <w:spacing w:after="120" w:line="240" w:lineRule="auto"/>
      <w:ind w:firstLine="100"/>
    </w:pPr>
    <w:rPr>
      <w:rFonts w:ascii="Times New Roman" w:eastAsia="宋体"/>
      <w:sz w:val="21"/>
    </w:rPr>
  </w:style>
  <w:style w:type="paragraph" w:customStyle="1" w:styleId="328">
    <w:name w:val="正文文本1"/>
    <w:basedOn w:val="1"/>
    <w:next w:val="327"/>
    <w:qFormat/>
    <w:uiPriority w:val="0"/>
    <w:pPr>
      <w:spacing w:line="60" w:lineRule="auto"/>
    </w:pPr>
    <w:rPr>
      <w:rFonts w:ascii="仿宋_GB2312" w:eastAsia="仿宋_GB2312"/>
      <w:sz w:val="32"/>
    </w:rPr>
  </w:style>
  <w:style w:type="paragraph" w:customStyle="1" w:styleId="329">
    <w:name w:val="DAS正文"/>
    <w:basedOn w:val="1"/>
    <w:qFormat/>
    <w:uiPriority w:val="0"/>
    <w:pPr>
      <w:spacing w:line="360" w:lineRule="auto"/>
      <w:ind w:right="181" w:firstLine="480"/>
    </w:pPr>
    <w:rPr>
      <w:rFonts w:ascii="Verdana" w:hAnsi="Verdana"/>
    </w:rPr>
  </w:style>
  <w:style w:type="paragraph" w:customStyle="1" w:styleId="330">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331">
    <w:name w:val="正文_16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2">
    <w:name w:val="正文_16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交科标题2"/>
    <w:basedOn w:val="1"/>
    <w:next w:val="1"/>
    <w:qFormat/>
    <w:uiPriority w:val="0"/>
    <w:pPr>
      <w:spacing w:line="360" w:lineRule="auto"/>
      <w:jc w:val="left"/>
      <w:outlineLvl w:val="1"/>
    </w:pPr>
    <w:rPr>
      <w:b/>
      <w:sz w:val="28"/>
    </w:rPr>
  </w:style>
  <w:style w:type="character" w:customStyle="1" w:styleId="335">
    <w:name w:val="first-child"/>
    <w:basedOn w:val="33"/>
    <w:qFormat/>
    <w:uiPriority w:val="0"/>
  </w:style>
  <w:style w:type="character" w:customStyle="1" w:styleId="336">
    <w:name w:val="layui-layer-tabnow"/>
    <w:basedOn w:val="33"/>
    <w:qFormat/>
    <w:uiPriority w:val="0"/>
    <w:rPr>
      <w:bdr w:val="single" w:color="CCCCCC" w:sz="6" w:space="0"/>
      <w:shd w:val="clear" w:color="auto" w:fill="FFFFFF"/>
    </w:rPr>
  </w:style>
  <w:style w:type="paragraph" w:customStyle="1" w:styleId="337">
    <w:name w:val="Normal_0_1_0"/>
    <w:qFormat/>
    <w:uiPriority w:val="0"/>
    <w:pPr>
      <w:spacing w:after="160" w:line="259" w:lineRule="auto"/>
    </w:pPr>
    <w:rPr>
      <w:rFonts w:ascii="黑体" w:hAnsi="黑体" w:eastAsia="黑体" w:cs="Times New Roman"/>
      <w:b/>
      <w:sz w:val="32"/>
      <w:szCs w:val="24"/>
      <w:lang w:val="en-US" w:eastAsia="zh-CN" w:bidi="ar-SA"/>
    </w:rPr>
  </w:style>
  <w:style w:type="paragraph" w:customStyle="1" w:styleId="338">
    <w:name w:val="Table Text"/>
    <w:basedOn w:val="1"/>
    <w:semiHidden/>
    <w:qFormat/>
    <w:uiPriority w:val="0"/>
    <w:rPr>
      <w:rFonts w:ascii="宋体" w:hAnsi="宋体" w:cs="宋体"/>
      <w:sz w:val="18"/>
      <w:szCs w:val="18"/>
      <w:lang w:eastAsia="en-US"/>
    </w:rPr>
  </w:style>
  <w:style w:type="paragraph" w:customStyle="1" w:styleId="339">
    <w:name w:val="Normal_17_0"/>
    <w:qFormat/>
    <w:uiPriority w:val="0"/>
    <w:rPr>
      <w:rFonts w:ascii="Helvetica-Light" w:hAnsi="Helvetica-Light" w:eastAsia="Helvetica-Light" w:cs="方正舒体"/>
      <w:b/>
      <w:sz w:val="32"/>
      <w:szCs w:val="24"/>
      <w:lang w:bidi="ar-SA"/>
    </w:rPr>
  </w:style>
  <w:style w:type="paragraph" w:customStyle="1" w:styleId="340">
    <w:name w:val="正文_1_0_0"/>
    <w:qFormat/>
    <w:uiPriority w:val="0"/>
    <w:pPr>
      <w:widowControl w:val="0"/>
      <w:jc w:val="both"/>
    </w:pPr>
    <w:rPr>
      <w:rFonts w:hint="default"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57</Pages>
  <Words>6481</Words>
  <Characters>7321</Characters>
  <Lines>235</Lines>
  <Paragraphs>66</Paragraphs>
  <TotalTime>86</TotalTime>
  <ScaleCrop>false</ScaleCrop>
  <LinksUpToDate>false</LinksUpToDate>
  <CharactersWithSpaces>7435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2023-03-16T02:16:00Z</dcterms:created>
  <dc:creator>赵国</dc:creator>
  <cp:lastModifiedBy>三心草</cp:lastModifiedBy>
  <cp:lastPrinted>2024-11-26T09:04:00Z</cp:lastPrinted>
  <dcterms:modified xsi:type="dcterms:W3CDTF">2025-01-20T05:45:06Z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AF1EE22BC1344CCEAC4570EC89627AEB_13</vt:lpwstr>
  </property>
  <property fmtid="{D5CDD505-2E9C-101B-9397-08002B2CF9AE}" pid="4" name="KSOTemplateDocerSaveRecord">
    <vt:lpwstr>eyJoZGlkIjoiZjY1ZDc5Yjg1ZWU4OTg3M2Y2MTNiNDcxYzk0ZTQ2ODYiLCJ1c2VySWQiOiI1NDA4MzA0OTkifQ==</vt:lpwstr>
  </property>
</Properties>
</file>